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D424D9" w:rsidP="00494130">
      <w:pPr>
        <w:pStyle w:val="Heading1"/>
        <w:spacing w:before="170"/>
        <w:ind w:left="0"/>
      </w:pPr>
      <w:r w:rsidRPr="00D424D9">
        <w:rPr>
          <w:color w:val="337AB7"/>
        </w:rPr>
        <w:t xml:space="preserve">Dementia cafés: Recommendations from interviews with informal </w:t>
      </w:r>
      <w:proofErr w:type="spellStart"/>
      <w:r w:rsidRPr="00D424D9">
        <w:rPr>
          <w:color w:val="337AB7"/>
        </w:rPr>
        <w:t>carers</w:t>
      </w:r>
      <w:proofErr w:type="spellEnd"/>
      <w:r>
        <w:rPr>
          <w:color w:val="337AB7"/>
        </w:rPr>
        <w:t xml:space="preserve"> </w:t>
      </w:r>
    </w:p>
    <w:p w:rsidR="00D424D9" w:rsidRPr="00960C35" w:rsidRDefault="00D424D9" w:rsidP="005973B9">
      <w:pPr>
        <w:pStyle w:val="BodyText"/>
        <w:spacing w:before="73" w:line="198" w:lineRule="exact"/>
        <w:ind w:left="100" w:right="5987"/>
        <w:rPr>
          <w:rFonts w:ascii="Arial"/>
          <w:sz w:val="20"/>
          <w:szCs w:val="20"/>
        </w:rPr>
      </w:pPr>
    </w:p>
    <w:p w:rsidR="00AE3E37" w:rsidRPr="00960C35" w:rsidRDefault="00D424D9" w:rsidP="00D424D9">
      <w:pPr>
        <w:pStyle w:val="BodyText"/>
        <w:spacing w:before="73" w:line="198" w:lineRule="exact"/>
        <w:ind w:left="100" w:right="5987"/>
        <w:rPr>
          <w:rFonts w:ascii="Arial"/>
          <w:sz w:val="20"/>
          <w:szCs w:val="20"/>
        </w:rPr>
      </w:pPr>
      <w:r w:rsidRPr="00960C35">
        <w:rPr>
          <w:rFonts w:ascii="Arial"/>
          <w:sz w:val="20"/>
          <w:szCs w:val="20"/>
        </w:rPr>
        <w:t>Farrukh Akhtar UK SFHEA</w:t>
      </w:r>
      <w:bookmarkStart w:id="0" w:name="_GoBack"/>
      <w:bookmarkEnd w:id="0"/>
    </w:p>
    <w:p w:rsidR="00AE3E37" w:rsidRPr="00960C35" w:rsidRDefault="00AE3E37">
      <w:pPr>
        <w:pStyle w:val="BodyText"/>
        <w:spacing w:before="3"/>
        <w:rPr>
          <w:rFonts w:ascii="Arial"/>
          <w:sz w:val="20"/>
          <w:szCs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D424D9" w:rsidRPr="00960C35" w:rsidRDefault="00D424D9">
      <w:pPr>
        <w:pStyle w:val="Heading3"/>
        <w:spacing w:before="74"/>
        <w:rPr>
          <w:rFonts w:eastAsia="Tw Cen MT"/>
          <w:b w:val="0"/>
          <w:bCs w:val="0"/>
        </w:rPr>
      </w:pPr>
      <w:r w:rsidRPr="00960C35">
        <w:rPr>
          <w:rFonts w:eastAsia="Tw Cen MT"/>
          <w:b w:val="0"/>
          <w:bCs w:val="0"/>
        </w:rPr>
        <w:t xml:space="preserve">Dementia cafés (also known as Alzheimer’s or memory cafés) have been running in the United Kingdom (UK) since 2000. This article reports on the recommendations from recent research that interviewed family </w:t>
      </w:r>
      <w:proofErr w:type="spellStart"/>
      <w:r w:rsidRPr="00960C35">
        <w:rPr>
          <w:rFonts w:eastAsia="Tw Cen MT"/>
          <w:b w:val="0"/>
          <w:bCs w:val="0"/>
        </w:rPr>
        <w:t>carers</w:t>
      </w:r>
      <w:proofErr w:type="spellEnd"/>
      <w:r w:rsidRPr="00960C35">
        <w:rPr>
          <w:rFonts w:eastAsia="Tw Cen MT"/>
          <w:b w:val="0"/>
          <w:bCs w:val="0"/>
        </w:rPr>
        <w:t xml:space="preserve"> on their experiences of using the cafés.  The research was carried out in cafés in and around London, and </w:t>
      </w:r>
      <w:proofErr w:type="spellStart"/>
      <w:r w:rsidRPr="00960C35">
        <w:rPr>
          <w:rFonts w:eastAsia="Tw Cen MT"/>
          <w:b w:val="0"/>
          <w:bCs w:val="0"/>
        </w:rPr>
        <w:t>focussed</w:t>
      </w:r>
      <w:proofErr w:type="spellEnd"/>
      <w:r w:rsidRPr="00960C35">
        <w:rPr>
          <w:rFonts w:eastAsia="Tw Cen MT"/>
          <w:b w:val="0"/>
          <w:bCs w:val="0"/>
        </w:rPr>
        <w:t xml:space="preserve"> on informal, unpaid </w:t>
      </w:r>
      <w:proofErr w:type="spellStart"/>
      <w:r w:rsidRPr="00960C35">
        <w:rPr>
          <w:rFonts w:eastAsia="Tw Cen MT"/>
          <w:b w:val="0"/>
          <w:bCs w:val="0"/>
        </w:rPr>
        <w:t>carers’</w:t>
      </w:r>
      <w:proofErr w:type="spellEnd"/>
      <w:r w:rsidRPr="00960C35">
        <w:rPr>
          <w:rFonts w:eastAsia="Tw Cen MT"/>
          <w:b w:val="0"/>
          <w:bCs w:val="0"/>
        </w:rPr>
        <w:t xml:space="preserve"> experiences of using them. Eleven </w:t>
      </w:r>
      <w:proofErr w:type="spellStart"/>
      <w:r w:rsidRPr="00960C35">
        <w:rPr>
          <w:rFonts w:eastAsia="Tw Cen MT"/>
          <w:b w:val="0"/>
          <w:bCs w:val="0"/>
        </w:rPr>
        <w:t>carers</w:t>
      </w:r>
      <w:proofErr w:type="spellEnd"/>
      <w:r w:rsidRPr="00960C35">
        <w:rPr>
          <w:rFonts w:eastAsia="Tw Cen MT"/>
          <w:b w:val="0"/>
          <w:bCs w:val="0"/>
        </w:rPr>
        <w:t xml:space="preserve"> from five different dementia cafés were interviewed, using semi structured questionnaires. The results were thematically </w:t>
      </w:r>
      <w:proofErr w:type="spellStart"/>
      <w:r w:rsidRPr="00960C35">
        <w:rPr>
          <w:rFonts w:eastAsia="Tw Cen MT"/>
          <w:b w:val="0"/>
          <w:bCs w:val="0"/>
        </w:rPr>
        <w:t>analysed</w:t>
      </w:r>
      <w:proofErr w:type="spellEnd"/>
      <w:r w:rsidRPr="00960C35">
        <w:rPr>
          <w:rFonts w:eastAsia="Tw Cen MT"/>
          <w:b w:val="0"/>
          <w:bCs w:val="0"/>
        </w:rPr>
        <w:t xml:space="preserve">. The findings showed that </w:t>
      </w:r>
      <w:proofErr w:type="spellStart"/>
      <w:r w:rsidRPr="00960C35">
        <w:rPr>
          <w:rFonts w:eastAsia="Tw Cen MT"/>
          <w:b w:val="0"/>
          <w:bCs w:val="0"/>
        </w:rPr>
        <w:t>carers</w:t>
      </w:r>
      <w:proofErr w:type="spellEnd"/>
      <w:r w:rsidRPr="00960C35">
        <w:rPr>
          <w:rFonts w:eastAsia="Tw Cen MT"/>
          <w:b w:val="0"/>
          <w:bCs w:val="0"/>
        </w:rPr>
        <w:t xml:space="preserve"> had an overwhelming appreciation of the cafés and what they offered, but several of the findings led to the recommendations about the recruitment and training of café </w:t>
      </w:r>
      <w:proofErr w:type="spellStart"/>
      <w:r w:rsidRPr="00960C35">
        <w:rPr>
          <w:rFonts w:eastAsia="Tw Cen MT"/>
          <w:b w:val="0"/>
          <w:bCs w:val="0"/>
        </w:rPr>
        <w:t>co-ordinators</w:t>
      </w:r>
      <w:proofErr w:type="spellEnd"/>
      <w:r w:rsidRPr="00960C35">
        <w:rPr>
          <w:rFonts w:eastAsia="Tw Cen MT"/>
          <w:b w:val="0"/>
          <w:bCs w:val="0"/>
        </w:rPr>
        <w:t xml:space="preserve">; how cafés present themselves and their services and how they can offer dedicated support to informal </w:t>
      </w:r>
      <w:proofErr w:type="spellStart"/>
      <w:r w:rsidRPr="00960C35">
        <w:rPr>
          <w:rFonts w:eastAsia="Tw Cen MT"/>
          <w:b w:val="0"/>
          <w:bCs w:val="0"/>
        </w:rPr>
        <w:t>carers</w:t>
      </w:r>
      <w:proofErr w:type="spellEnd"/>
      <w:r w:rsidRPr="00960C35">
        <w:rPr>
          <w:rFonts w:eastAsia="Tw Cen MT"/>
          <w:b w:val="0"/>
          <w:bCs w:val="0"/>
        </w:rPr>
        <w:t xml:space="preserve">. These recommendations will be of use to café </w:t>
      </w:r>
      <w:proofErr w:type="spellStart"/>
      <w:r w:rsidRPr="00960C35">
        <w:rPr>
          <w:rFonts w:eastAsia="Tw Cen MT"/>
          <w:b w:val="0"/>
          <w:bCs w:val="0"/>
        </w:rPr>
        <w:t>organisers</w:t>
      </w:r>
      <w:proofErr w:type="spellEnd"/>
      <w:r w:rsidRPr="00960C35">
        <w:rPr>
          <w:rFonts w:eastAsia="Tw Cen MT"/>
          <w:b w:val="0"/>
          <w:bCs w:val="0"/>
        </w:rPr>
        <w:t xml:space="preserve"> and commissioners, especially considering the dearth of information currently available in this area. </w:t>
      </w:r>
    </w:p>
    <w:p w:rsidR="00D424D9" w:rsidRDefault="00D424D9" w:rsidP="00D424D9">
      <w:pPr>
        <w:pStyle w:val="Heading3"/>
        <w:spacing w:before="74"/>
      </w:pPr>
      <w:r>
        <w:rPr>
          <w:color w:val="BF5A14"/>
        </w:rPr>
        <w:t>Quote</w:t>
      </w:r>
    </w:p>
    <w:p w:rsidR="00D424D9" w:rsidRDefault="00D424D9" w:rsidP="00D424D9">
      <w:pPr>
        <w:pStyle w:val="BodyText"/>
        <w:spacing w:before="2"/>
        <w:rPr>
          <w:rFonts w:ascii="Arial"/>
          <w:b/>
          <w:sz w:val="16"/>
        </w:rPr>
      </w:pPr>
    </w:p>
    <w:p w:rsidR="00D424D9" w:rsidRPr="00D424D9" w:rsidRDefault="00D424D9" w:rsidP="00D424D9">
      <w:pPr>
        <w:spacing w:line="204" w:lineRule="exact"/>
        <w:ind w:left="100"/>
        <w:rPr>
          <w:rFonts w:ascii="Arial"/>
          <w:i/>
          <w:sz w:val="20"/>
        </w:rPr>
      </w:pPr>
      <w:r w:rsidRPr="00D424D9">
        <w:rPr>
          <w:rFonts w:ascii="Arial"/>
          <w:i/>
          <w:sz w:val="20"/>
        </w:rPr>
        <w:t>“</w:t>
      </w:r>
      <w:r w:rsidRPr="00D424D9">
        <w:rPr>
          <w:rFonts w:ascii="Arial"/>
          <w:i/>
          <w:sz w:val="20"/>
        </w:rPr>
        <w:t>The memory caf</w:t>
      </w:r>
      <w:r w:rsidRPr="00D424D9">
        <w:rPr>
          <w:rFonts w:ascii="Arial"/>
          <w:i/>
          <w:sz w:val="20"/>
        </w:rPr>
        <w:t>é</w:t>
      </w:r>
      <w:r w:rsidRPr="00D424D9">
        <w:rPr>
          <w:rFonts w:ascii="Arial"/>
          <w:i/>
          <w:sz w:val="20"/>
        </w:rPr>
        <w:t xml:space="preserve"> has been the one constant thing. So all the other activities that we</w:t>
      </w:r>
      <w:r w:rsidRPr="00D424D9">
        <w:rPr>
          <w:rFonts w:ascii="Arial"/>
          <w:i/>
          <w:sz w:val="20"/>
        </w:rPr>
        <w:t>’</w:t>
      </w:r>
      <w:r w:rsidRPr="00D424D9">
        <w:rPr>
          <w:rFonts w:ascii="Arial"/>
          <w:i/>
          <w:sz w:val="20"/>
        </w:rPr>
        <w:t>ve done, they kind of come and go, or they</w:t>
      </w:r>
      <w:r w:rsidRPr="00D424D9">
        <w:rPr>
          <w:rFonts w:ascii="Arial"/>
          <w:i/>
          <w:sz w:val="20"/>
        </w:rPr>
        <w:t>’</w:t>
      </w:r>
      <w:r w:rsidRPr="00D424D9">
        <w:rPr>
          <w:rFonts w:ascii="Arial"/>
          <w:i/>
          <w:sz w:val="20"/>
        </w:rPr>
        <w:t>re seasonal or whatever, but the memory caf</w:t>
      </w:r>
      <w:r w:rsidRPr="00D424D9">
        <w:rPr>
          <w:rFonts w:ascii="Arial"/>
          <w:i/>
          <w:sz w:val="20"/>
        </w:rPr>
        <w:t>é</w:t>
      </w:r>
      <w:r w:rsidRPr="00D424D9">
        <w:rPr>
          <w:rFonts w:ascii="Arial"/>
          <w:i/>
          <w:sz w:val="20"/>
        </w:rPr>
        <w:t>, I quite like the consistency, the fact that it</w:t>
      </w:r>
      <w:r w:rsidRPr="00D424D9">
        <w:rPr>
          <w:rFonts w:ascii="Arial"/>
          <w:i/>
          <w:sz w:val="20"/>
        </w:rPr>
        <w:t>’</w:t>
      </w:r>
      <w:r w:rsidRPr="00D424D9">
        <w:rPr>
          <w:rFonts w:ascii="Arial"/>
          <w:i/>
          <w:sz w:val="20"/>
        </w:rPr>
        <w:t>s every month all throughout the year over a period of years, so yeah I think that</w:t>
      </w:r>
      <w:r w:rsidRPr="00D424D9">
        <w:rPr>
          <w:rFonts w:ascii="Arial"/>
          <w:i/>
          <w:sz w:val="20"/>
        </w:rPr>
        <w:t>’</w:t>
      </w:r>
      <w:r w:rsidRPr="00D424D9">
        <w:rPr>
          <w:rFonts w:ascii="Arial"/>
          <w:i/>
          <w:sz w:val="20"/>
        </w:rPr>
        <w:t>s a benefit.</w:t>
      </w:r>
      <w:r w:rsidRPr="00D424D9">
        <w:rPr>
          <w:rFonts w:ascii="Arial"/>
          <w:i/>
          <w:sz w:val="20"/>
        </w:rPr>
        <w:t>”</w:t>
      </w:r>
    </w:p>
    <w:p w:rsidR="005973B9" w:rsidRDefault="00A9710C" w:rsidP="00960C35">
      <w:pPr>
        <w:pStyle w:val="Heading3"/>
        <w:spacing w:before="74"/>
        <w:rPr>
          <w:b w:val="0"/>
        </w:rPr>
      </w:pPr>
      <w:r>
        <w:rPr>
          <w:b w:val="0"/>
        </w:rPr>
        <w:br w:type="column"/>
      </w:r>
      <w:r w:rsidR="00960C35">
        <w:rPr>
          <w:b w:val="0"/>
        </w:rPr>
        <w:lastRenderedPageBreak/>
        <w:t xml:space="preserve"> </w:t>
      </w:r>
      <w:r w:rsidR="005973B9">
        <w:rPr>
          <w:color w:val="BF5A14"/>
        </w:rPr>
        <w:t>Recent Publications (minimum 5)</w:t>
      </w:r>
    </w:p>
    <w:p w:rsidR="00D424D9" w:rsidRPr="00960C35" w:rsidRDefault="00D424D9" w:rsidP="00D424D9">
      <w:pPr>
        <w:pStyle w:val="BodyText"/>
        <w:numPr>
          <w:ilvl w:val="0"/>
          <w:numId w:val="4"/>
        </w:numPr>
        <w:spacing w:before="85" w:line="216" w:lineRule="exact"/>
        <w:ind w:right="138"/>
        <w:jc w:val="both"/>
        <w:rPr>
          <w:rFonts w:ascii="Arial" w:eastAsia="Calibri" w:hAnsi="Arial" w:cs="Arial"/>
          <w:sz w:val="20"/>
          <w:szCs w:val="20"/>
        </w:rPr>
      </w:pPr>
      <w:r w:rsidRPr="00960C35">
        <w:rPr>
          <w:rFonts w:ascii="Arial" w:eastAsia="Calibri" w:hAnsi="Arial" w:cs="Arial"/>
          <w:sz w:val="20"/>
          <w:szCs w:val="20"/>
        </w:rPr>
        <w:t xml:space="preserve">Akhtar, F., Greenwood, N., Smith, R and Richardson, A (2017) Dementia cafés: recommendations from interviews with informal </w:t>
      </w:r>
      <w:proofErr w:type="spellStart"/>
      <w:r w:rsidRPr="00960C35">
        <w:rPr>
          <w:rFonts w:ascii="Arial" w:eastAsia="Calibri" w:hAnsi="Arial" w:cs="Arial"/>
          <w:sz w:val="20"/>
          <w:szCs w:val="20"/>
        </w:rPr>
        <w:t>carers</w:t>
      </w:r>
      <w:proofErr w:type="spellEnd"/>
      <w:r w:rsidRPr="00960C35">
        <w:rPr>
          <w:rFonts w:ascii="Arial" w:eastAsia="Calibri" w:hAnsi="Arial" w:cs="Arial"/>
          <w:sz w:val="20"/>
          <w:szCs w:val="20"/>
        </w:rPr>
        <w:t xml:space="preserve">. Working with Older People. </w:t>
      </w:r>
    </w:p>
    <w:p w:rsidR="00D424D9" w:rsidRPr="00960C35" w:rsidRDefault="00D424D9" w:rsidP="00D424D9">
      <w:pPr>
        <w:pStyle w:val="BodyText"/>
        <w:numPr>
          <w:ilvl w:val="0"/>
          <w:numId w:val="4"/>
        </w:numPr>
        <w:spacing w:before="85" w:line="216" w:lineRule="exact"/>
        <w:ind w:right="138"/>
        <w:jc w:val="both"/>
        <w:rPr>
          <w:rFonts w:ascii="Arial" w:eastAsia="Calibri" w:hAnsi="Arial" w:cs="Arial"/>
          <w:sz w:val="20"/>
          <w:szCs w:val="20"/>
        </w:rPr>
      </w:pPr>
      <w:r w:rsidRPr="00960C35">
        <w:rPr>
          <w:rFonts w:ascii="Arial" w:eastAsia="Calibri" w:hAnsi="Arial" w:cs="Arial"/>
          <w:sz w:val="20"/>
          <w:szCs w:val="20"/>
        </w:rPr>
        <w:t>Greenwood, N., Smith, R., Akhtar, F., and Richardson, A (2017</w:t>
      </w:r>
      <w:proofErr w:type="gramStart"/>
      <w:r w:rsidRPr="00960C35">
        <w:rPr>
          <w:rFonts w:ascii="Arial" w:eastAsia="Calibri" w:hAnsi="Arial" w:cs="Arial"/>
          <w:sz w:val="20"/>
          <w:szCs w:val="20"/>
        </w:rPr>
        <w:t>)  A</w:t>
      </w:r>
      <w:proofErr w:type="gramEnd"/>
      <w:r w:rsidRPr="00960C35">
        <w:rPr>
          <w:rFonts w:ascii="Arial" w:eastAsia="Calibri" w:hAnsi="Arial" w:cs="Arial"/>
          <w:sz w:val="20"/>
          <w:szCs w:val="20"/>
        </w:rPr>
        <w:t xml:space="preserve"> qualitative exploration of </w:t>
      </w:r>
      <w:proofErr w:type="spellStart"/>
      <w:r w:rsidRPr="00960C35">
        <w:rPr>
          <w:rFonts w:ascii="Arial" w:eastAsia="Calibri" w:hAnsi="Arial" w:cs="Arial"/>
          <w:sz w:val="20"/>
          <w:szCs w:val="20"/>
        </w:rPr>
        <w:t>carers’</w:t>
      </w:r>
      <w:proofErr w:type="spellEnd"/>
      <w:r w:rsidRPr="00960C35">
        <w:rPr>
          <w:rFonts w:ascii="Arial" w:eastAsia="Calibri" w:hAnsi="Arial" w:cs="Arial"/>
          <w:sz w:val="20"/>
          <w:szCs w:val="20"/>
        </w:rPr>
        <w:t xml:space="preserve"> experiences of dementia cafés: a place to feel supported and be yourself. BMC Geriatrics (2017) 17:164 </w:t>
      </w:r>
    </w:p>
    <w:p w:rsidR="00D424D9" w:rsidRPr="00960C35" w:rsidRDefault="00D424D9" w:rsidP="00D424D9">
      <w:pPr>
        <w:pStyle w:val="BodyText"/>
        <w:numPr>
          <w:ilvl w:val="0"/>
          <w:numId w:val="4"/>
        </w:numPr>
        <w:spacing w:before="85" w:line="216" w:lineRule="exact"/>
        <w:ind w:right="138"/>
        <w:jc w:val="both"/>
        <w:rPr>
          <w:rFonts w:ascii="Arial" w:eastAsia="Calibri" w:hAnsi="Arial" w:cs="Arial"/>
          <w:sz w:val="20"/>
          <w:szCs w:val="20"/>
        </w:rPr>
      </w:pPr>
      <w:r w:rsidRPr="00960C35">
        <w:rPr>
          <w:rFonts w:ascii="Arial" w:eastAsia="Calibri" w:hAnsi="Arial" w:cs="Arial"/>
          <w:sz w:val="20"/>
          <w:szCs w:val="20"/>
        </w:rPr>
        <w:t xml:space="preserve">Richardson, A., Pedley, G., Akhtar, F., Pelone, F., Chang, J., </w:t>
      </w:r>
      <w:proofErr w:type="spellStart"/>
      <w:r w:rsidRPr="00960C35">
        <w:rPr>
          <w:rFonts w:ascii="Arial" w:eastAsia="Calibri" w:hAnsi="Arial" w:cs="Arial"/>
          <w:sz w:val="20"/>
          <w:szCs w:val="20"/>
        </w:rPr>
        <w:t>Muleya</w:t>
      </w:r>
      <w:proofErr w:type="spellEnd"/>
      <w:r w:rsidRPr="00960C35">
        <w:rPr>
          <w:rFonts w:ascii="Arial" w:eastAsia="Calibri" w:hAnsi="Arial" w:cs="Arial"/>
          <w:sz w:val="20"/>
          <w:szCs w:val="20"/>
        </w:rPr>
        <w:t>, W. and Greenwood, N. (2016</w:t>
      </w:r>
      <w:proofErr w:type="gramStart"/>
      <w:r w:rsidRPr="00960C35">
        <w:rPr>
          <w:rFonts w:ascii="Arial" w:eastAsia="Calibri" w:hAnsi="Arial" w:cs="Arial"/>
          <w:sz w:val="20"/>
          <w:szCs w:val="20"/>
        </w:rPr>
        <w:t>)  Psychosocial</w:t>
      </w:r>
      <w:proofErr w:type="gramEnd"/>
      <w:r w:rsidRPr="00960C35">
        <w:rPr>
          <w:rFonts w:ascii="Arial" w:eastAsia="Calibri" w:hAnsi="Arial" w:cs="Arial"/>
          <w:sz w:val="20"/>
          <w:szCs w:val="20"/>
        </w:rPr>
        <w:t xml:space="preserve"> interventions for people with young onset dementia and their </w:t>
      </w:r>
      <w:proofErr w:type="spellStart"/>
      <w:r w:rsidRPr="00960C35">
        <w:rPr>
          <w:rFonts w:ascii="Arial" w:eastAsia="Calibri" w:hAnsi="Arial" w:cs="Arial"/>
          <w:sz w:val="20"/>
          <w:szCs w:val="20"/>
        </w:rPr>
        <w:t>carers</w:t>
      </w:r>
      <w:proofErr w:type="spellEnd"/>
      <w:r w:rsidRPr="00960C35">
        <w:rPr>
          <w:rFonts w:ascii="Arial" w:eastAsia="Calibri" w:hAnsi="Arial" w:cs="Arial"/>
          <w:sz w:val="20"/>
          <w:szCs w:val="20"/>
        </w:rPr>
        <w:t xml:space="preserve">: a systematic review. International </w:t>
      </w:r>
      <w:proofErr w:type="spellStart"/>
      <w:r w:rsidRPr="00960C35">
        <w:rPr>
          <w:rFonts w:ascii="Arial" w:eastAsia="Calibri" w:hAnsi="Arial" w:cs="Arial"/>
          <w:sz w:val="20"/>
          <w:szCs w:val="20"/>
        </w:rPr>
        <w:t>Psychogeriatrics</w:t>
      </w:r>
      <w:proofErr w:type="spellEnd"/>
      <w:r w:rsidRPr="00960C35">
        <w:rPr>
          <w:rFonts w:ascii="Arial" w:eastAsia="Calibri" w:hAnsi="Arial" w:cs="Arial"/>
          <w:sz w:val="20"/>
          <w:szCs w:val="20"/>
        </w:rPr>
        <w:t xml:space="preserve">, page 1 of 14. </w:t>
      </w:r>
    </w:p>
    <w:p w:rsidR="00D424D9" w:rsidRPr="00960C35" w:rsidRDefault="00D424D9" w:rsidP="00D424D9">
      <w:pPr>
        <w:pStyle w:val="BodyText"/>
        <w:numPr>
          <w:ilvl w:val="0"/>
          <w:numId w:val="4"/>
        </w:numPr>
        <w:spacing w:before="85" w:line="216" w:lineRule="exact"/>
        <w:ind w:right="138"/>
        <w:jc w:val="both"/>
        <w:rPr>
          <w:rFonts w:ascii="Arial" w:eastAsia="Calibri" w:hAnsi="Arial" w:cs="Arial"/>
          <w:sz w:val="20"/>
          <w:szCs w:val="20"/>
        </w:rPr>
      </w:pPr>
      <w:r w:rsidRPr="00960C35">
        <w:rPr>
          <w:rFonts w:ascii="Arial" w:eastAsia="Calibri" w:hAnsi="Arial" w:cs="Arial"/>
          <w:sz w:val="20"/>
          <w:szCs w:val="20"/>
        </w:rPr>
        <w:t xml:space="preserve">Akhtar, F and Livingston, W (2016) Social work beyond borders? Do 15 years of devolution mean </w:t>
      </w:r>
      <w:proofErr w:type="spellStart"/>
      <w:r w:rsidRPr="00960C35">
        <w:rPr>
          <w:rFonts w:ascii="Arial" w:eastAsia="Calibri" w:hAnsi="Arial" w:cs="Arial"/>
          <w:sz w:val="20"/>
          <w:szCs w:val="20"/>
        </w:rPr>
        <w:t>SWexit</w:t>
      </w:r>
      <w:proofErr w:type="spellEnd"/>
      <w:r w:rsidRPr="00960C35">
        <w:rPr>
          <w:rFonts w:ascii="Arial" w:eastAsia="Calibri" w:hAnsi="Arial" w:cs="Arial"/>
          <w:sz w:val="20"/>
          <w:szCs w:val="20"/>
        </w:rPr>
        <w:t xml:space="preserve"> for social work as a unified profession in the UK, and a weakened position in the global work force? Professional Social Work. BASW. October 2016 issue.</w:t>
      </w:r>
    </w:p>
    <w:p w:rsidR="005973B9" w:rsidRPr="00960C35" w:rsidRDefault="00D424D9" w:rsidP="00D424D9">
      <w:pPr>
        <w:pStyle w:val="BodyText"/>
        <w:numPr>
          <w:ilvl w:val="0"/>
          <w:numId w:val="4"/>
        </w:numPr>
        <w:spacing w:before="85" w:line="216" w:lineRule="exact"/>
        <w:ind w:right="138"/>
        <w:jc w:val="both"/>
        <w:rPr>
          <w:rFonts w:ascii="Arial" w:hAnsi="Arial" w:cs="Arial"/>
          <w:sz w:val="20"/>
          <w:szCs w:val="20"/>
        </w:rPr>
      </w:pPr>
      <w:r w:rsidRPr="00960C35">
        <w:rPr>
          <w:rFonts w:ascii="Arial" w:eastAsia="Calibri" w:hAnsi="Arial" w:cs="Arial"/>
          <w:sz w:val="20"/>
          <w:szCs w:val="20"/>
        </w:rPr>
        <w:t xml:space="preserve">Akhtar, Farrukh (2015) Reclaiming the "wounded storyteller": The use of peer feedback as a pedagogical tool in creative life writing. Writing in Practice, 1, ISSN (online) 2058-5535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pPr>
      <w:r>
        <w:rPr>
          <w:rFonts w:ascii="Calibri" w:hAnsi="Calibri"/>
        </w:rPr>
        <w:t xml:space="preserve">   </w:t>
      </w:r>
    </w:p>
    <w:p w:rsidR="00960C35" w:rsidRDefault="00960C35">
      <w:pPr>
        <w:spacing w:line="200" w:lineRule="exact"/>
        <w:jc w:val="both"/>
        <w:rPr>
          <w:rFonts w:ascii="Calibri" w:hAnsi="Calibri"/>
        </w:rPr>
      </w:pPr>
    </w:p>
    <w:p w:rsidR="00960C35" w:rsidRDefault="00960C35">
      <w:pPr>
        <w:spacing w:line="200" w:lineRule="exact"/>
        <w:jc w:val="both"/>
        <w:rPr>
          <w:rFonts w:ascii="Calibri" w:hAnsi="Calibri"/>
        </w:rPr>
      </w:pPr>
    </w:p>
    <w:p w:rsidR="00960C35" w:rsidRDefault="00960C35">
      <w:pPr>
        <w:spacing w:line="200" w:lineRule="exact"/>
        <w:jc w:val="both"/>
        <w:rPr>
          <w:rFonts w:ascii="Calibri" w:hAnsi="Calibri"/>
        </w:rPr>
      </w:pPr>
    </w:p>
    <w:p w:rsidR="00960C35" w:rsidRDefault="00960C35">
      <w:pPr>
        <w:spacing w:line="200" w:lineRule="exact"/>
        <w:jc w:val="both"/>
        <w:rPr>
          <w:rFonts w:ascii="Calibri" w:hAnsi="Calibri"/>
        </w:rPr>
      </w:pPr>
    </w:p>
    <w:p w:rsidR="00960C35" w:rsidRDefault="00960C35">
      <w:pPr>
        <w:spacing w:line="200" w:lineRule="exact"/>
        <w:jc w:val="both"/>
        <w:rPr>
          <w:rFonts w:ascii="Calibri" w:hAnsi="Calibri"/>
        </w:rPr>
      </w:pPr>
    </w:p>
    <w:p w:rsidR="00960C35" w:rsidRDefault="00960C35">
      <w:pPr>
        <w:spacing w:line="200" w:lineRule="exact"/>
        <w:jc w:val="both"/>
        <w:rPr>
          <w:rFonts w:ascii="Calibri" w:hAnsi="Calibri"/>
        </w:rPr>
        <w:sectPr w:rsidR="00960C35">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GB" w:eastAsia="en-GB"/>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802E3F">
        <w:rPr>
          <w:noProof/>
        </w:rPr>
        <w:t xml:space="preserve"> </w:t>
      </w:r>
      <w:r w:rsidR="00A9710C">
        <w:rPr>
          <w:rFonts w:ascii="Arial"/>
          <w:color w:val="BF5A14"/>
        </w:rPr>
        <w:t>Biography</w:t>
      </w:r>
      <w:r w:rsidR="00404E5B">
        <w:rPr>
          <w:rFonts w:ascii="Arial"/>
          <w:color w:val="BF5A14"/>
        </w:rPr>
        <w:t xml:space="preserve"> (150 word limit)</w:t>
      </w:r>
    </w:p>
    <w:p w:rsidR="00960C35" w:rsidRPr="00960C35" w:rsidRDefault="00D424D9">
      <w:pPr>
        <w:spacing w:before="41" w:line="154" w:lineRule="exact"/>
        <w:ind w:left="213" w:right="231"/>
        <w:jc w:val="both"/>
        <w:rPr>
          <w:rFonts w:ascii="Arial" w:hAnsi="Arial" w:cs="Arial"/>
          <w:sz w:val="20"/>
          <w:szCs w:val="20"/>
        </w:rPr>
      </w:pPr>
      <w:r w:rsidRPr="00960C35">
        <w:rPr>
          <w:rFonts w:ascii="Arial" w:hAnsi="Arial" w:cs="Arial"/>
          <w:sz w:val="20"/>
          <w:szCs w:val="20"/>
        </w:rPr>
        <w:t>Farrukh Akhtar is a Senior lecturer in the Department of Social Work and Social Care, Faculty of Health, Social Care and Education, Kingston University and St George’s, University of London</w:t>
      </w:r>
      <w:r w:rsidR="00960C35" w:rsidRPr="00960C35">
        <w:rPr>
          <w:rFonts w:ascii="Arial" w:hAnsi="Arial" w:cs="Arial"/>
          <w:sz w:val="20"/>
          <w:szCs w:val="20"/>
        </w:rPr>
        <w:t xml:space="preserve"> where she has been part of teams conducting research into the use of Dementia cafés and also early onset dementia.</w:t>
      </w:r>
    </w:p>
    <w:p w:rsidR="00D424D9" w:rsidRPr="00960C35" w:rsidRDefault="00960C35">
      <w:pPr>
        <w:spacing w:before="41" w:line="154" w:lineRule="exact"/>
        <w:ind w:left="213" w:right="231"/>
        <w:jc w:val="both"/>
        <w:rPr>
          <w:rFonts w:ascii="Arial" w:hAnsi="Arial" w:cs="Arial"/>
          <w:sz w:val="20"/>
          <w:szCs w:val="20"/>
        </w:rPr>
      </w:pPr>
      <w:r w:rsidRPr="00960C35">
        <w:rPr>
          <w:rFonts w:ascii="Arial" w:hAnsi="Arial" w:cs="Arial"/>
          <w:sz w:val="20"/>
          <w:szCs w:val="20"/>
        </w:rPr>
        <w:t xml:space="preserve">She is a registered social worker of nearly 25 years and has built up an expertise in using narrative approaches and transformative learning. She uses Transformative Life </w:t>
      </w:r>
      <w:proofErr w:type="spellStart"/>
      <w:r w:rsidRPr="00960C35">
        <w:rPr>
          <w:rFonts w:ascii="Arial" w:hAnsi="Arial" w:cs="Arial"/>
          <w:sz w:val="20"/>
          <w:szCs w:val="20"/>
        </w:rPr>
        <w:t>Writing</w:t>
      </w:r>
      <w:r w:rsidRPr="00960C35">
        <w:rPr>
          <w:rFonts w:ascii="Arial" w:hAnsi="Arial" w:cs="Arial"/>
          <w:sz w:val="20"/>
          <w:szCs w:val="20"/>
          <w:vertAlign w:val="superscript"/>
        </w:rPr>
        <w:t>TM</w:t>
      </w:r>
      <w:proofErr w:type="spellEnd"/>
      <w:r w:rsidRPr="00960C35">
        <w:rPr>
          <w:rFonts w:ascii="Arial" w:hAnsi="Arial" w:cs="Arial"/>
          <w:sz w:val="20"/>
          <w:szCs w:val="20"/>
        </w:rPr>
        <w:t xml:space="preserve"> as a pedagogical as well as a tool for personal transformation. </w:t>
      </w:r>
    </w:p>
    <w:p w:rsidR="00AE3E37" w:rsidRDefault="00AE3E37">
      <w:pPr>
        <w:spacing w:before="41" w:line="154" w:lineRule="exact"/>
        <w:ind w:left="213" w:right="231"/>
        <w:jc w:val="both"/>
        <w:rPr>
          <w:rFonts w:ascii="Arial"/>
          <w:sz w:val="14"/>
        </w:rPr>
      </w:pPr>
    </w:p>
    <w:p w:rsidR="00960C35" w:rsidRDefault="00960C35" w:rsidP="00960C35">
      <w:pPr>
        <w:spacing w:before="62"/>
        <w:ind w:left="2160" w:right="4235" w:firstLine="720"/>
        <w:jc w:val="center"/>
        <w:rPr>
          <w:rFonts w:ascii="Arial"/>
          <w:sz w:val="20"/>
          <w:szCs w:val="20"/>
        </w:rPr>
      </w:pPr>
      <w:r>
        <w:rPr>
          <w:rFonts w:ascii="Arial"/>
          <w:sz w:val="20"/>
          <w:szCs w:val="20"/>
        </w:rPr>
        <w:t>E</w:t>
      </w:r>
      <w:r w:rsidR="00D424D9" w:rsidRPr="00960C35">
        <w:rPr>
          <w:rFonts w:ascii="Arial"/>
          <w:sz w:val="20"/>
          <w:szCs w:val="20"/>
        </w:rPr>
        <w:t>mail: F.Akhtar@sgul.kingston.ac.uk</w:t>
      </w:r>
      <w:r w:rsidR="00292ED9" w:rsidRPr="00960C35">
        <w:rPr>
          <w:noProof/>
          <w:sz w:val="20"/>
          <w:szCs w:val="20"/>
          <w:lang w:val="en-GB" w:eastAsia="en-GB"/>
        </w:rPr>
        <mc:AlternateContent>
          <mc:Choice Requires="wps">
            <w:drawing>
              <wp:anchor distT="0" distB="0" distL="0" distR="0" simplePos="0" relativeHeight="1072" behindDoc="0" locked="0" layoutInCell="1" allowOverlap="1" wp14:anchorId="739A02F2" wp14:editId="766FEAB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Pr>
          <w:rFonts w:ascii="Arial"/>
          <w:sz w:val="20"/>
          <w:szCs w:val="20"/>
        </w:rPr>
        <w:t xml:space="preserve"> </w:t>
      </w:r>
    </w:p>
    <w:p w:rsidR="00960C35" w:rsidRDefault="00960C35" w:rsidP="00960C35">
      <w:pPr>
        <w:spacing w:before="62"/>
        <w:ind w:left="1440" w:right="4235" w:firstLine="720"/>
        <w:jc w:val="center"/>
        <w:rPr>
          <w:rFonts w:ascii="Arial"/>
          <w:sz w:val="14"/>
        </w:rPr>
      </w:pPr>
    </w:p>
    <w:p w:rsidR="00AE3E37" w:rsidRPr="00B21A57" w:rsidRDefault="00A9710C" w:rsidP="00D424D9">
      <w:pPr>
        <w:spacing w:before="62"/>
        <w:ind w:right="4235"/>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E07" w:rsidRDefault="00830E07">
      <w:r>
        <w:separator/>
      </w:r>
    </w:p>
  </w:endnote>
  <w:endnote w:type="continuationSeparator" w:id="0">
    <w:p w:rsidR="00830E07" w:rsidRDefault="00830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E07" w:rsidRDefault="00830E07">
      <w:r>
        <w:separator/>
      </w:r>
    </w:p>
  </w:footnote>
  <w:footnote w:type="continuationSeparator" w:id="0">
    <w:p w:rsidR="00830E07" w:rsidRDefault="00830E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5DE38A3"/>
    <w:multiLevelType w:val="hybridMultilevel"/>
    <w:tmpl w:val="FA808F8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5"/>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02E3F"/>
    <w:rsid w:val="00830E07"/>
    <w:rsid w:val="00873DF0"/>
    <w:rsid w:val="008756E6"/>
    <w:rsid w:val="00960C35"/>
    <w:rsid w:val="009B2D44"/>
    <w:rsid w:val="00A07E82"/>
    <w:rsid w:val="00A9710C"/>
    <w:rsid w:val="00AE3E37"/>
    <w:rsid w:val="00B21A57"/>
    <w:rsid w:val="00C33602"/>
    <w:rsid w:val="00CD6F55"/>
    <w:rsid w:val="00D424D9"/>
    <w:rsid w:val="00DE3104"/>
    <w:rsid w:val="00E45DC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Akhtar, Farrukh N</cp:lastModifiedBy>
  <cp:revision>2</cp:revision>
  <dcterms:created xsi:type="dcterms:W3CDTF">2017-11-13T18:03:00Z</dcterms:created>
  <dcterms:modified xsi:type="dcterms:W3CDTF">2017-11-13T18:03:00Z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