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E0FCF8" w14:textId="6C89B7EB" w:rsidR="0081216A" w:rsidRPr="0081216A" w:rsidRDefault="0081216A" w:rsidP="0081216A">
      <w:pPr>
        <w:jc w:val="center"/>
        <w:rPr>
          <w:rFonts w:ascii="Times New Roman" w:hAnsi="Times New Roman"/>
          <w:b/>
          <w:bCs/>
          <w:sz w:val="24"/>
          <w:szCs w:val="24"/>
        </w:rPr>
      </w:pPr>
      <w:r w:rsidRPr="0081216A">
        <w:rPr>
          <w:rFonts w:ascii="Times New Roman" w:hAnsi="Times New Roman"/>
          <w:b/>
          <w:bCs/>
          <w:sz w:val="24"/>
          <w:szCs w:val="24"/>
        </w:rPr>
        <w:t xml:space="preserve">Rate, Number, and Costs of Adverse Health Events Among </w:t>
      </w:r>
      <w:r w:rsidR="005F49F8">
        <w:rPr>
          <w:rFonts w:ascii="Times New Roman" w:hAnsi="Times New Roman"/>
          <w:b/>
          <w:bCs/>
          <w:sz w:val="24"/>
          <w:szCs w:val="24"/>
        </w:rPr>
        <w:t xml:space="preserve">Older </w:t>
      </w:r>
      <w:bookmarkStart w:id="0" w:name="_GoBack"/>
      <w:bookmarkEnd w:id="0"/>
      <w:r w:rsidRPr="0081216A">
        <w:rPr>
          <w:rFonts w:ascii="Times New Roman" w:hAnsi="Times New Roman"/>
          <w:b/>
          <w:bCs/>
          <w:sz w:val="24"/>
          <w:szCs w:val="24"/>
        </w:rPr>
        <w:t>Adults with Cerebral Palsy/Spina Bifida Compared with Their Matched Cohorts Without Disability</w:t>
      </w:r>
    </w:p>
    <w:p w14:paraId="77DBA301" w14:textId="77777777" w:rsidR="009F0EA7" w:rsidRPr="009F0EA7" w:rsidRDefault="009F0EA7" w:rsidP="009F0EA7">
      <w:pPr>
        <w:spacing w:after="0" w:line="240" w:lineRule="auto"/>
        <w:rPr>
          <w:rFonts w:ascii="Times New Roman" w:eastAsia="Times New Roman" w:hAnsi="Times New Roman"/>
          <w:sz w:val="24"/>
          <w:szCs w:val="24"/>
        </w:rPr>
      </w:pPr>
      <w:r w:rsidRPr="009F0EA7">
        <w:rPr>
          <w:rFonts w:ascii="Times New Roman" w:eastAsia="Times New Roman" w:hAnsi="Times New Roman"/>
          <w:b/>
          <w:bCs/>
          <w:sz w:val="24"/>
          <w:szCs w:val="24"/>
        </w:rPr>
        <w:t>Motivation</w:t>
      </w:r>
      <w:r w:rsidRPr="009F0EA7">
        <w:rPr>
          <w:rFonts w:ascii="Times New Roman" w:eastAsia="Times New Roman" w:hAnsi="Times New Roman"/>
          <w:sz w:val="24"/>
          <w:szCs w:val="24"/>
        </w:rPr>
        <w:t>. Cerebral palsy (CP) and spina bifida (SB) are pediatric-onset physical disabilities. Due to increases in the childhood survival, the prevalence of adults who live with these conditions have increased over time. Adults with CP/SB live with severe life-long disability and are at elevated risk for multimorbidity. Little is known about adverse health events among this patient population in comparison with a matched cohort of people without disability.</w:t>
      </w:r>
    </w:p>
    <w:p w14:paraId="400957DF" w14:textId="77777777" w:rsidR="009F0EA7" w:rsidRPr="009F0EA7" w:rsidRDefault="009F0EA7" w:rsidP="009F0EA7">
      <w:pPr>
        <w:spacing w:before="100" w:beforeAutospacing="1" w:after="100" w:afterAutospacing="1" w:line="240" w:lineRule="auto"/>
        <w:rPr>
          <w:rFonts w:ascii="Times New Roman" w:eastAsia="Times New Roman" w:hAnsi="Times New Roman"/>
          <w:sz w:val="24"/>
          <w:szCs w:val="24"/>
        </w:rPr>
      </w:pPr>
      <w:r w:rsidRPr="009F0EA7">
        <w:rPr>
          <w:rFonts w:ascii="Times New Roman" w:eastAsia="Times New Roman" w:hAnsi="Times New Roman"/>
          <w:b/>
          <w:bCs/>
          <w:sz w:val="24"/>
          <w:szCs w:val="24"/>
        </w:rPr>
        <w:t>Objective.</w:t>
      </w:r>
      <w:r w:rsidRPr="009F0EA7">
        <w:rPr>
          <w:rFonts w:ascii="Times New Roman" w:eastAsia="Times New Roman" w:hAnsi="Times New Roman"/>
          <w:sz w:val="24"/>
          <w:szCs w:val="24"/>
        </w:rPr>
        <w:t xml:space="preserve"> This novel study longitudinally followed adult patients (18 +) who diagnosed with CP or SB to estimate the rate, number, and cost of adverse events including unplanned hospitalization, preventable hospitalization, and emergency department (ED) visits. We analyzed the adjusted trends and compared the outcomes of interest between CP/SB cohorts and their matched counterparts without disability.</w:t>
      </w:r>
    </w:p>
    <w:p w14:paraId="417CDF40" w14:textId="77777777" w:rsidR="009F0EA7" w:rsidRPr="009F0EA7" w:rsidRDefault="009F0EA7" w:rsidP="009F0EA7">
      <w:pPr>
        <w:spacing w:before="100" w:beforeAutospacing="1" w:after="100" w:afterAutospacing="1" w:line="240" w:lineRule="auto"/>
        <w:rPr>
          <w:rFonts w:ascii="Times New Roman" w:eastAsia="Times New Roman" w:hAnsi="Times New Roman"/>
          <w:sz w:val="24"/>
          <w:szCs w:val="24"/>
        </w:rPr>
      </w:pPr>
      <w:r w:rsidRPr="009F0EA7">
        <w:rPr>
          <w:rFonts w:ascii="Times New Roman" w:eastAsia="Times New Roman" w:hAnsi="Times New Roman"/>
          <w:b/>
          <w:bCs/>
          <w:sz w:val="24"/>
          <w:szCs w:val="24"/>
        </w:rPr>
        <w:t>Data.</w:t>
      </w:r>
      <w:r w:rsidRPr="009F0EA7">
        <w:rPr>
          <w:rFonts w:ascii="Times New Roman" w:eastAsia="Times New Roman" w:hAnsi="Times New Roman"/>
          <w:sz w:val="24"/>
          <w:szCs w:val="24"/>
        </w:rPr>
        <w:t xml:space="preserve"> We performed a retrospective cross-sectional analysis of adults with and without CP/SB using a large, national, private insurance claims data. The study period covered 2009 to 2016. Our explanatory variables included age, sex, race/ethnicity, </w:t>
      </w:r>
      <w:proofErr w:type="spellStart"/>
      <w:r w:rsidRPr="009F0EA7">
        <w:rPr>
          <w:rFonts w:ascii="Times New Roman" w:eastAsia="Times New Roman" w:hAnsi="Times New Roman"/>
          <w:sz w:val="24"/>
          <w:szCs w:val="24"/>
        </w:rPr>
        <w:t>Elixhauser</w:t>
      </w:r>
      <w:proofErr w:type="spellEnd"/>
      <w:r w:rsidRPr="009F0EA7">
        <w:rPr>
          <w:rFonts w:ascii="Times New Roman" w:eastAsia="Times New Roman" w:hAnsi="Times New Roman"/>
          <w:sz w:val="24"/>
          <w:szCs w:val="24"/>
        </w:rPr>
        <w:t xml:space="preserve"> comorbidity index, 9 U.S. Census divisions, and imputed zip-code level income and education. Our outcome variables were rate, number, and costs of (1) ED visits; (2) unplanned hospitalization; and (3) preventable hospitalization. Our cohort included 24,306 adults with CP/SB.</w:t>
      </w:r>
    </w:p>
    <w:p w14:paraId="6E8D80E6" w14:textId="77777777" w:rsidR="009F0EA7" w:rsidRPr="009F0EA7" w:rsidRDefault="009F0EA7" w:rsidP="009F0EA7">
      <w:pPr>
        <w:spacing w:before="100" w:beforeAutospacing="1" w:after="100" w:afterAutospacing="1" w:line="240" w:lineRule="auto"/>
        <w:rPr>
          <w:rFonts w:ascii="Times New Roman" w:eastAsia="Times New Roman" w:hAnsi="Times New Roman"/>
          <w:sz w:val="24"/>
          <w:szCs w:val="24"/>
        </w:rPr>
      </w:pPr>
      <w:r w:rsidRPr="009F0EA7">
        <w:rPr>
          <w:rFonts w:ascii="Times New Roman" w:eastAsia="Times New Roman" w:hAnsi="Times New Roman"/>
          <w:b/>
          <w:bCs/>
          <w:sz w:val="24"/>
          <w:szCs w:val="24"/>
        </w:rPr>
        <w:t>Study Design</w:t>
      </w:r>
      <w:r w:rsidRPr="009F0EA7">
        <w:rPr>
          <w:rFonts w:ascii="Times New Roman" w:eastAsia="Times New Roman" w:hAnsi="Times New Roman"/>
          <w:sz w:val="24"/>
          <w:szCs w:val="24"/>
        </w:rPr>
        <w:t xml:space="preserve">. We conducted bivariate analysis of baseline demographic characteristics and comorbid conditions for included adults with and without CP/SB. To control for selection bias, we performed propensity score matching between those with and without CP/SB at a caliper of 0.001 without replacement adjusting for age, sex, race/ethnicity, and </w:t>
      </w:r>
      <w:proofErr w:type="spellStart"/>
      <w:r w:rsidRPr="009F0EA7">
        <w:rPr>
          <w:rFonts w:ascii="Times New Roman" w:eastAsia="Times New Roman" w:hAnsi="Times New Roman"/>
          <w:sz w:val="24"/>
          <w:szCs w:val="24"/>
        </w:rPr>
        <w:t>Elixhauser</w:t>
      </w:r>
      <w:proofErr w:type="spellEnd"/>
      <w:r w:rsidRPr="009F0EA7">
        <w:rPr>
          <w:rFonts w:ascii="Times New Roman" w:eastAsia="Times New Roman" w:hAnsi="Times New Roman"/>
          <w:sz w:val="24"/>
          <w:szCs w:val="24"/>
        </w:rPr>
        <w:t xml:space="preserve"> comorbidity index. To control for repeated measures overtime, we used generalized estimating equation model for all analyses, using binary distribution for rate, negative binomial distribution for number of services, and gamma distribution for cost. Using these distributions enabled us to address inherent skewness and heteroscedasticity of the healthcare data.</w:t>
      </w:r>
    </w:p>
    <w:p w14:paraId="4596F1EA" w14:textId="77777777" w:rsidR="009F0EA7" w:rsidRPr="009F0EA7" w:rsidRDefault="009F0EA7" w:rsidP="009F0EA7">
      <w:pPr>
        <w:spacing w:before="100" w:beforeAutospacing="1" w:after="100" w:afterAutospacing="1" w:line="240" w:lineRule="auto"/>
        <w:rPr>
          <w:rFonts w:ascii="Times New Roman" w:eastAsia="Times New Roman" w:hAnsi="Times New Roman"/>
          <w:sz w:val="24"/>
          <w:szCs w:val="24"/>
        </w:rPr>
      </w:pPr>
      <w:r w:rsidRPr="009F0EA7">
        <w:rPr>
          <w:rFonts w:ascii="Times New Roman" w:eastAsia="Times New Roman" w:hAnsi="Times New Roman"/>
          <w:b/>
          <w:bCs/>
          <w:sz w:val="24"/>
          <w:szCs w:val="24"/>
        </w:rPr>
        <w:t>Principal Findings</w:t>
      </w:r>
      <w:r w:rsidRPr="009F0EA7">
        <w:rPr>
          <w:rFonts w:ascii="Times New Roman" w:eastAsia="Times New Roman" w:hAnsi="Times New Roman"/>
          <w:sz w:val="24"/>
          <w:szCs w:val="24"/>
        </w:rPr>
        <w:t>. Average yearly rate of unplanned hospitalization, preventable hospitalization, and ED visits among adults with and without CP/SB were 0.24 vs. 0.15 (diff: -0.09; 95% CI: -0.09, -0.09), 0.47 vs. 0.50 (diff: 0.03; 95% CI 0.02, 0.04), and 0.32 vs. 0.16 (diff: -0.16; 95% CI: -0.16, -0.16), respectively. Number of unplanned hospitalization, preventable hospitalization, and ED visits among adults with and without CP/SB were 1.30 vs. 1.16 (diff: -0.14; 95% CI: -0.15, -0.13), 0.57 vs. 0.56 (diff: -0.01; 95% CI: -0.02, 0.00), and 2.27 vs. 1.56 (diff: -0.71; 95% CI: -0.74, -0.69), respectively. Cost of unplanned hospitalization, preventable hospitalization, and ED visits among adults with and without CP/SB were $17,285 vs. $14,750 (diff: -$2,535; 95% CI: -$2,843, -$2,227), $16,806 vs. $15,882 (diff: -$924; 95% CI: -$1,367, -$480), and $3,763 vs. $2,650 (diff: -$1,113; 95% CI: -$1,166, -$1,060), respectively.</w:t>
      </w:r>
    </w:p>
    <w:p w14:paraId="4ACB694F" w14:textId="77777777" w:rsidR="009F0EA7" w:rsidRPr="009F0EA7" w:rsidRDefault="009F0EA7" w:rsidP="009F0EA7">
      <w:pPr>
        <w:spacing w:before="100" w:beforeAutospacing="1" w:after="100" w:afterAutospacing="1" w:line="240" w:lineRule="auto"/>
        <w:rPr>
          <w:rFonts w:ascii="Times New Roman" w:eastAsia="Times New Roman" w:hAnsi="Times New Roman"/>
          <w:sz w:val="24"/>
          <w:szCs w:val="24"/>
        </w:rPr>
      </w:pPr>
      <w:r w:rsidRPr="009F0EA7">
        <w:rPr>
          <w:rFonts w:ascii="Times New Roman" w:eastAsia="Times New Roman" w:hAnsi="Times New Roman"/>
          <w:b/>
          <w:bCs/>
          <w:sz w:val="24"/>
          <w:szCs w:val="24"/>
        </w:rPr>
        <w:t>Policy Implications and Conclusions</w:t>
      </w:r>
      <w:r w:rsidRPr="009F0EA7">
        <w:rPr>
          <w:rFonts w:ascii="Times New Roman" w:eastAsia="Times New Roman" w:hAnsi="Times New Roman"/>
          <w:sz w:val="24"/>
          <w:szCs w:val="24"/>
        </w:rPr>
        <w:t>.  Our study demonstrates that rate, number, and cost of adverse health events are substantially higher among adults with CP/SB compared with their matched cohort of adults without disability. Efforts are needed to facilitate the development of improved clinical screening for adults with CP/SB. Early interventions to reduce risk of adverse health events in this high-risk population should be considered.</w:t>
      </w:r>
    </w:p>
    <w:p w14:paraId="11A1318F" w14:textId="77777777" w:rsidR="0081216A" w:rsidRPr="0081216A" w:rsidRDefault="0081216A" w:rsidP="0081216A">
      <w:pPr>
        <w:spacing w:after="0" w:line="240" w:lineRule="auto"/>
        <w:rPr>
          <w:rFonts w:ascii="Times New Roman" w:hAnsi="Times New Roman"/>
          <w:sz w:val="24"/>
          <w:szCs w:val="24"/>
        </w:rPr>
      </w:pPr>
      <w:r w:rsidRPr="0081216A">
        <w:rPr>
          <w:rFonts w:ascii="Times New Roman" w:hAnsi="Times New Roman"/>
          <w:b/>
          <w:bCs/>
          <w:sz w:val="24"/>
          <w:szCs w:val="24"/>
        </w:rPr>
        <w:t>Key Words</w:t>
      </w:r>
      <w:r w:rsidRPr="0081216A">
        <w:rPr>
          <w:rFonts w:ascii="Times New Roman" w:hAnsi="Times New Roman"/>
          <w:sz w:val="24"/>
          <w:szCs w:val="24"/>
        </w:rPr>
        <w:t>. cerebral palsy; spina bifida; adverse health events; unplanned hospitalization, preventable hospitalization, emergency visit, healthcare cost.</w:t>
      </w:r>
    </w:p>
    <w:p w14:paraId="0462001B" w14:textId="77777777" w:rsidR="0081216A" w:rsidRPr="0081216A" w:rsidRDefault="0081216A" w:rsidP="0081216A">
      <w:pPr>
        <w:rPr>
          <w:sz w:val="24"/>
          <w:szCs w:val="24"/>
        </w:rPr>
      </w:pPr>
    </w:p>
    <w:sectPr w:rsidR="0081216A" w:rsidRPr="0081216A" w:rsidSect="008121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16A"/>
    <w:rsid w:val="000040B1"/>
    <w:rsid w:val="00032E97"/>
    <w:rsid w:val="0006674E"/>
    <w:rsid w:val="00081F5B"/>
    <w:rsid w:val="00087C6E"/>
    <w:rsid w:val="000C42CB"/>
    <w:rsid w:val="001E64C8"/>
    <w:rsid w:val="00220C4A"/>
    <w:rsid w:val="00351739"/>
    <w:rsid w:val="00360770"/>
    <w:rsid w:val="00362F80"/>
    <w:rsid w:val="003B3ABD"/>
    <w:rsid w:val="003D3FCE"/>
    <w:rsid w:val="003F1C65"/>
    <w:rsid w:val="0042331E"/>
    <w:rsid w:val="00455763"/>
    <w:rsid w:val="00456EBC"/>
    <w:rsid w:val="0046337E"/>
    <w:rsid w:val="0046364F"/>
    <w:rsid w:val="00490686"/>
    <w:rsid w:val="004957D0"/>
    <w:rsid w:val="004F2DA3"/>
    <w:rsid w:val="004F4335"/>
    <w:rsid w:val="00500A2A"/>
    <w:rsid w:val="00571D3B"/>
    <w:rsid w:val="00586867"/>
    <w:rsid w:val="005D441F"/>
    <w:rsid w:val="005F49F8"/>
    <w:rsid w:val="00650544"/>
    <w:rsid w:val="006546D2"/>
    <w:rsid w:val="00661006"/>
    <w:rsid w:val="00661F80"/>
    <w:rsid w:val="006C1A9D"/>
    <w:rsid w:val="00721A97"/>
    <w:rsid w:val="0073286C"/>
    <w:rsid w:val="007465DF"/>
    <w:rsid w:val="00763208"/>
    <w:rsid w:val="007B0319"/>
    <w:rsid w:val="007B68A9"/>
    <w:rsid w:val="0081216A"/>
    <w:rsid w:val="00833192"/>
    <w:rsid w:val="00834C89"/>
    <w:rsid w:val="008E7388"/>
    <w:rsid w:val="009335DE"/>
    <w:rsid w:val="00935999"/>
    <w:rsid w:val="00967647"/>
    <w:rsid w:val="009730E0"/>
    <w:rsid w:val="009E7EAF"/>
    <w:rsid w:val="009F0EA7"/>
    <w:rsid w:val="00A14822"/>
    <w:rsid w:val="00A20715"/>
    <w:rsid w:val="00AC64E9"/>
    <w:rsid w:val="00AE0E76"/>
    <w:rsid w:val="00B037EF"/>
    <w:rsid w:val="00B31BF9"/>
    <w:rsid w:val="00B5489E"/>
    <w:rsid w:val="00B7305D"/>
    <w:rsid w:val="00BD206B"/>
    <w:rsid w:val="00C319CF"/>
    <w:rsid w:val="00C944EA"/>
    <w:rsid w:val="00D13E40"/>
    <w:rsid w:val="00D31DA5"/>
    <w:rsid w:val="00D45CB8"/>
    <w:rsid w:val="00DE1FD4"/>
    <w:rsid w:val="00E40D4B"/>
    <w:rsid w:val="00E54017"/>
    <w:rsid w:val="00E541FA"/>
    <w:rsid w:val="00F130F7"/>
    <w:rsid w:val="00F13F4F"/>
    <w:rsid w:val="00F233FF"/>
    <w:rsid w:val="00F65687"/>
    <w:rsid w:val="00FE1F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FD5BA"/>
  <w15:chartTrackingRefBased/>
  <w15:docId w15:val="{6C2C3348-513D-224D-8630-D02D285A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16A"/>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F0EA7"/>
    <w:rPr>
      <w:b/>
      <w:bCs/>
    </w:rPr>
  </w:style>
  <w:style w:type="paragraph" w:styleId="NormalWeb">
    <w:name w:val="Normal (Web)"/>
    <w:basedOn w:val="Normal"/>
    <w:uiPriority w:val="99"/>
    <w:semiHidden/>
    <w:unhideWhenUsed/>
    <w:rsid w:val="009F0EA7"/>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960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2019-11-19T01:21:00Z</dcterms:created>
  <dcterms:modified xsi:type="dcterms:W3CDTF">2020-01-10T16:27:00Z</dcterms:modified>
</cp:coreProperties>
</file>