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326E4" w14:textId="57D571E9" w:rsidR="006942CE" w:rsidRPr="006E17DA" w:rsidRDefault="006E17DA" w:rsidP="006E17DA">
      <w:pPr>
        <w:jc w:val="center"/>
        <w:rPr>
          <w:rFonts w:asciiTheme="majorBidi" w:eastAsia="Times New Roman" w:hAnsiTheme="majorBidi" w:cstheme="majorBidi"/>
          <w:b/>
          <w:bCs/>
        </w:rPr>
      </w:pPr>
      <w:r w:rsidRPr="00364885">
        <w:rPr>
          <w:rFonts w:asciiTheme="majorBidi" w:eastAsia="Times New Roman" w:hAnsiTheme="majorBidi" w:cstheme="majorBidi"/>
          <w:b/>
          <w:bCs/>
          <w:color w:val="000000"/>
        </w:rPr>
        <w:t xml:space="preserve">Racial/Ethnic Disparities in Access to </w:t>
      </w:r>
      <w:r>
        <w:rPr>
          <w:rFonts w:asciiTheme="majorBidi" w:eastAsia="Times New Roman" w:hAnsiTheme="majorBidi" w:cstheme="majorBidi"/>
          <w:b/>
          <w:bCs/>
          <w:color w:val="000000"/>
        </w:rPr>
        <w:t>a</w:t>
      </w:r>
      <w:r w:rsidRPr="00364885">
        <w:rPr>
          <w:rFonts w:asciiTheme="majorBidi" w:eastAsia="Times New Roman" w:hAnsiTheme="majorBidi" w:cstheme="majorBidi"/>
          <w:b/>
          <w:bCs/>
          <w:color w:val="000000"/>
        </w:rPr>
        <w:t xml:space="preserve">nd Cost of Healthcare Among Older Adults with Cognitive </w:t>
      </w:r>
      <w:r>
        <w:rPr>
          <w:rFonts w:asciiTheme="majorBidi" w:eastAsia="Times New Roman" w:hAnsiTheme="majorBidi" w:cstheme="majorBidi"/>
          <w:b/>
          <w:bCs/>
          <w:color w:val="000000"/>
        </w:rPr>
        <w:t>Impairment</w:t>
      </w:r>
      <w:r w:rsidRPr="00364885">
        <w:rPr>
          <w:rFonts w:asciiTheme="majorBidi" w:eastAsia="Times New Roman" w:hAnsiTheme="majorBidi" w:cstheme="majorBidi"/>
          <w:b/>
          <w:bCs/>
          <w:color w:val="000000"/>
        </w:rPr>
        <w:t>: 2002 to 2016</w:t>
      </w:r>
      <w:bookmarkStart w:id="0" w:name="_GoBack"/>
      <w:bookmarkEnd w:id="0"/>
    </w:p>
    <w:p w14:paraId="0D8D038B" w14:textId="5B06FBD5" w:rsidR="006942CE" w:rsidRDefault="006942CE" w:rsidP="00C23ED5">
      <w:pPr>
        <w:rPr>
          <w:rFonts w:ascii="Times New Roman" w:hAnsi="Times New Roman" w:cs="Times New Roman"/>
        </w:rPr>
      </w:pPr>
      <w:r>
        <w:rPr>
          <w:rFonts w:asciiTheme="majorBidi" w:hAnsiTheme="majorBidi" w:cstheme="majorBidi"/>
          <w:b/>
        </w:rPr>
        <w:t>Motivation</w:t>
      </w:r>
      <w:r w:rsidRPr="00E34D6B">
        <w:rPr>
          <w:rFonts w:asciiTheme="majorBidi" w:hAnsiTheme="majorBidi" w:cstheme="majorBidi"/>
          <w:b/>
        </w:rPr>
        <w:t>:</w:t>
      </w:r>
      <w:r w:rsidRPr="00E34D6B">
        <w:rPr>
          <w:rFonts w:asciiTheme="majorBidi" w:eastAsia="Times New Roman" w:hAnsiTheme="majorBidi" w:cstheme="majorBidi"/>
        </w:rPr>
        <w:t xml:space="preserve"> </w:t>
      </w:r>
      <w:r>
        <w:rPr>
          <w:rFonts w:asciiTheme="majorBidi" w:eastAsia="Times New Roman" w:hAnsiTheme="majorBidi" w:cstheme="majorBidi"/>
        </w:rPr>
        <w:t>Disparities in care among individuals with cognitive impairment (CI) may put certain subpopulations at a higher risk</w:t>
      </w:r>
      <w:r>
        <w:rPr>
          <w:rFonts w:asciiTheme="majorBidi" w:eastAsia="Times New Roman" w:hAnsiTheme="majorBidi" w:cstheme="majorBidi"/>
        </w:rPr>
        <w:t xml:space="preserve"> for premature death or institutionalization</w:t>
      </w:r>
      <w:r>
        <w:rPr>
          <w:rFonts w:asciiTheme="majorBidi" w:eastAsia="Times New Roman" w:hAnsiTheme="majorBidi" w:cstheme="majorBidi"/>
        </w:rPr>
        <w:t xml:space="preserve">. </w:t>
      </w:r>
    </w:p>
    <w:p w14:paraId="1147056B" w14:textId="058F6E1F" w:rsidR="006942CE" w:rsidRDefault="006942CE" w:rsidP="006942CE">
      <w:pPr>
        <w:rPr>
          <w:rFonts w:asciiTheme="majorBidi" w:hAnsiTheme="majorBidi" w:cstheme="majorBidi"/>
        </w:rPr>
      </w:pPr>
    </w:p>
    <w:p w14:paraId="6A805B40" w14:textId="585CBC97" w:rsidR="006942CE" w:rsidRDefault="00C23ED5" w:rsidP="006942CE">
      <w:pPr>
        <w:rPr>
          <w:rFonts w:asciiTheme="majorBidi" w:hAnsiTheme="majorBidi" w:cstheme="majorBidi"/>
        </w:rPr>
      </w:pPr>
      <w:r w:rsidRPr="006942CE">
        <w:rPr>
          <w:rFonts w:asciiTheme="majorBidi" w:hAnsiTheme="majorBidi" w:cstheme="majorBidi"/>
          <w:b/>
          <w:bCs/>
        </w:rPr>
        <w:t>Objective</w:t>
      </w:r>
      <w:r>
        <w:rPr>
          <w:rFonts w:asciiTheme="majorBidi" w:hAnsiTheme="majorBidi" w:cstheme="majorBidi"/>
        </w:rPr>
        <w:t xml:space="preserve">: </w:t>
      </w:r>
      <w:r>
        <w:rPr>
          <w:rFonts w:ascii="Times New Roman" w:hAnsi="Times New Roman"/>
        </w:rPr>
        <w:t xml:space="preserve">Quantifying the Institute of Medicine (IOM) definition of racial/ethnic disparity, our objective was to examine disparities between Whites and minorities (blacks, Hispanics, and Asians) </w:t>
      </w:r>
      <w:r>
        <w:rPr>
          <w:rFonts w:asciiTheme="majorBidi" w:hAnsiTheme="majorBidi" w:cstheme="majorBidi"/>
        </w:rPr>
        <w:t>in healthcare use and costs among older adults with CI.</w:t>
      </w:r>
    </w:p>
    <w:p w14:paraId="44A9F6A6" w14:textId="77777777" w:rsidR="006942CE" w:rsidRPr="00E34D6B" w:rsidRDefault="006942CE" w:rsidP="006942CE">
      <w:pPr>
        <w:rPr>
          <w:rFonts w:asciiTheme="majorBidi" w:hAnsiTheme="majorBidi" w:cstheme="majorBidi"/>
        </w:rPr>
      </w:pPr>
    </w:p>
    <w:p w14:paraId="35F7F86A" w14:textId="5BB697C2" w:rsidR="00C23ED5" w:rsidRDefault="006942CE" w:rsidP="00C23ED5">
      <w:pPr>
        <w:rPr>
          <w:rFonts w:ascii="Times New Roman" w:hAnsi="Times New Roman" w:cs="Times New Roman"/>
        </w:rPr>
      </w:pPr>
      <w:r w:rsidRPr="00E34D6B">
        <w:rPr>
          <w:rFonts w:asciiTheme="majorBidi" w:hAnsiTheme="majorBidi" w:cstheme="majorBidi"/>
          <w:b/>
        </w:rPr>
        <w:t xml:space="preserve">Data: </w:t>
      </w:r>
      <w:r w:rsidR="00817C8B" w:rsidRPr="00E34D6B">
        <w:rPr>
          <w:rFonts w:asciiTheme="majorBidi" w:hAnsiTheme="majorBidi" w:cstheme="majorBidi"/>
        </w:rPr>
        <w:t xml:space="preserve">Using </w:t>
      </w:r>
      <w:r w:rsidR="00817C8B">
        <w:rPr>
          <w:rFonts w:asciiTheme="majorBidi" w:hAnsiTheme="majorBidi" w:cstheme="majorBidi"/>
        </w:rPr>
        <w:t>data from the Medical Expenditure Panel Survey</w:t>
      </w:r>
      <w:r w:rsidR="00817C8B" w:rsidRPr="00E34D6B">
        <w:rPr>
          <w:rFonts w:asciiTheme="majorBidi" w:hAnsiTheme="majorBidi" w:cstheme="majorBidi"/>
        </w:rPr>
        <w:t xml:space="preserve"> (200</w:t>
      </w:r>
      <w:r w:rsidR="00817C8B">
        <w:rPr>
          <w:rFonts w:asciiTheme="majorBidi" w:hAnsiTheme="majorBidi" w:cstheme="majorBidi"/>
        </w:rPr>
        <w:t>2</w:t>
      </w:r>
      <w:r w:rsidR="00817C8B" w:rsidRPr="00E34D6B">
        <w:rPr>
          <w:rFonts w:asciiTheme="majorBidi" w:hAnsiTheme="majorBidi" w:cstheme="majorBidi"/>
        </w:rPr>
        <w:t>-201</w:t>
      </w:r>
      <w:r w:rsidR="00817C8B">
        <w:rPr>
          <w:rFonts w:asciiTheme="majorBidi" w:hAnsiTheme="majorBidi" w:cstheme="majorBidi"/>
        </w:rPr>
        <w:t>6</w:t>
      </w:r>
      <w:r w:rsidR="00817C8B" w:rsidRPr="00E34D6B">
        <w:rPr>
          <w:rFonts w:asciiTheme="majorBidi" w:hAnsiTheme="majorBidi" w:cstheme="majorBidi"/>
        </w:rPr>
        <w:t>)</w:t>
      </w:r>
      <w:r w:rsidR="00817C8B">
        <w:rPr>
          <w:rFonts w:asciiTheme="majorBidi" w:hAnsiTheme="majorBidi" w:cstheme="majorBidi"/>
        </w:rPr>
        <w:t xml:space="preserve">, </w:t>
      </w:r>
      <w:r w:rsidR="00817C8B">
        <w:rPr>
          <w:rFonts w:ascii="Times New Roman" w:hAnsi="Times New Roman"/>
        </w:rPr>
        <w:t>w</w:t>
      </w:r>
      <w:r w:rsidR="00C23ED5" w:rsidRPr="0081216A">
        <w:rPr>
          <w:rFonts w:ascii="Times New Roman" w:hAnsi="Times New Roman"/>
        </w:rPr>
        <w:t xml:space="preserve">e performed a retrospective cross-sectional analysis of </w:t>
      </w:r>
      <w:r w:rsidR="00C23ED5">
        <w:rPr>
          <w:rFonts w:ascii="Times New Roman" w:hAnsi="Times New Roman"/>
        </w:rPr>
        <w:t>older Medicare beneficiaries</w:t>
      </w:r>
      <w:r w:rsidR="00817C8B">
        <w:rPr>
          <w:rFonts w:ascii="Times New Roman" w:hAnsi="Times New Roman"/>
        </w:rPr>
        <w:t xml:space="preserve"> (65+) with CI (N=10,012).</w:t>
      </w:r>
      <w:r w:rsidR="00817C8B">
        <w:rPr>
          <w:rFonts w:asciiTheme="majorBidi" w:hAnsiTheme="majorBidi" w:cstheme="majorBidi"/>
        </w:rPr>
        <w:t xml:space="preserve"> </w:t>
      </w:r>
      <w:r w:rsidR="00C23ED5">
        <w:rPr>
          <w:rFonts w:asciiTheme="majorBidi" w:eastAsia="Times New Roman" w:hAnsiTheme="majorBidi" w:cstheme="majorBidi"/>
        </w:rPr>
        <w:t xml:space="preserve">We defined </w:t>
      </w:r>
      <w:r w:rsidR="00C23ED5">
        <w:rPr>
          <w:rFonts w:asciiTheme="majorBidi" w:hAnsiTheme="majorBidi" w:cstheme="majorBidi"/>
        </w:rPr>
        <w:t xml:space="preserve">CI if an individual was </w:t>
      </w:r>
      <w:r w:rsidR="00C23ED5">
        <w:rPr>
          <w:rFonts w:ascii="Times New Roman" w:hAnsi="Times New Roman" w:cs="Times New Roman"/>
        </w:rPr>
        <w:t xml:space="preserve">(1) experiencing confusion/memory loss, (2) having problems making decisions, or (3) requiring supervision. </w:t>
      </w:r>
      <w:r w:rsidR="00C23ED5" w:rsidRPr="0081216A">
        <w:rPr>
          <w:rFonts w:ascii="Times New Roman" w:hAnsi="Times New Roman"/>
        </w:rPr>
        <w:t>Our explanatory variables included</w:t>
      </w:r>
      <w:r w:rsidR="00C23ED5">
        <w:rPr>
          <w:rFonts w:asciiTheme="majorBidi" w:hAnsiTheme="majorBidi" w:cstheme="majorBidi"/>
        </w:rPr>
        <w:t xml:space="preserve"> self-reported demographic, socioeconomic status (income level and education), comorbidities, and lifestyle choices. </w:t>
      </w:r>
      <w:r w:rsidR="00C23ED5">
        <w:rPr>
          <w:rFonts w:ascii="Times New Roman" w:hAnsi="Times New Roman"/>
        </w:rPr>
        <w:t>O</w:t>
      </w:r>
      <w:r w:rsidR="00C23ED5" w:rsidRPr="0081216A">
        <w:rPr>
          <w:rFonts w:ascii="Times New Roman" w:hAnsi="Times New Roman"/>
        </w:rPr>
        <w:t>utcome</w:t>
      </w:r>
      <w:r w:rsidR="00C23ED5">
        <w:rPr>
          <w:rFonts w:ascii="Times New Roman" w:hAnsi="Times New Roman"/>
        </w:rPr>
        <w:t xml:space="preserve">s of interest were racial/ethnic disparities </w:t>
      </w:r>
      <w:r w:rsidRPr="00E34D6B">
        <w:rPr>
          <w:rFonts w:asciiTheme="majorBidi" w:hAnsiTheme="majorBidi" w:cstheme="majorBidi"/>
        </w:rPr>
        <w:t xml:space="preserve">in </w:t>
      </w:r>
      <w:r>
        <w:rPr>
          <w:rFonts w:asciiTheme="majorBidi" w:hAnsiTheme="majorBidi" w:cstheme="majorBidi"/>
        </w:rPr>
        <w:t xml:space="preserve">having a usual source of care, office visits, prescription drugs, and corresponding expenditures. </w:t>
      </w:r>
    </w:p>
    <w:p w14:paraId="4B1251C5" w14:textId="77777777" w:rsidR="00C23ED5" w:rsidRDefault="00C23ED5" w:rsidP="006942CE">
      <w:pPr>
        <w:rPr>
          <w:rFonts w:asciiTheme="majorBidi" w:hAnsiTheme="majorBidi" w:cstheme="majorBidi"/>
        </w:rPr>
      </w:pPr>
    </w:p>
    <w:p w14:paraId="7BEF6659" w14:textId="64327F5B" w:rsidR="00C23ED5" w:rsidRDefault="006942CE" w:rsidP="00817C8B">
      <w:pPr>
        <w:rPr>
          <w:rFonts w:asciiTheme="majorBidi" w:hAnsiTheme="majorBidi" w:cstheme="majorBidi"/>
        </w:rPr>
      </w:pPr>
      <w:r w:rsidRPr="00C23ED5">
        <w:rPr>
          <w:rFonts w:asciiTheme="majorBidi" w:hAnsiTheme="majorBidi" w:cstheme="majorBidi"/>
          <w:b/>
          <w:bCs/>
        </w:rPr>
        <w:t>Study Design</w:t>
      </w:r>
      <w:r>
        <w:rPr>
          <w:rFonts w:asciiTheme="majorBidi" w:hAnsiTheme="majorBidi" w:cstheme="majorBidi"/>
        </w:rPr>
        <w:t>:</w:t>
      </w:r>
      <w:r w:rsidR="00C23ED5">
        <w:rPr>
          <w:rFonts w:asciiTheme="majorBidi" w:hAnsiTheme="majorBidi" w:cstheme="majorBidi"/>
        </w:rPr>
        <w:t xml:space="preserve"> </w:t>
      </w:r>
      <w:r w:rsidR="00C23ED5">
        <w:rPr>
          <w:rFonts w:asciiTheme="majorBidi" w:hAnsiTheme="majorBidi" w:cstheme="majorBidi"/>
        </w:rPr>
        <w:t xml:space="preserve">To implement the IOM definition of disparity, </w:t>
      </w:r>
      <w:r w:rsidR="00C23ED5" w:rsidRPr="0081216A">
        <w:rPr>
          <w:rFonts w:asciiTheme="majorBidi" w:eastAsia="Times New Roman" w:hAnsiTheme="majorBidi" w:cstheme="majorBidi"/>
        </w:rPr>
        <w:t xml:space="preserve">we performed propensity score matching between </w:t>
      </w:r>
      <w:r w:rsidR="00C23ED5">
        <w:rPr>
          <w:rFonts w:asciiTheme="majorBidi" w:eastAsia="Times New Roman" w:hAnsiTheme="majorBidi" w:cstheme="majorBidi"/>
        </w:rPr>
        <w:t>White and each minority subpopulation</w:t>
      </w:r>
      <w:r w:rsidR="00C23ED5" w:rsidRPr="0081216A">
        <w:rPr>
          <w:rFonts w:asciiTheme="majorBidi" w:eastAsia="Times New Roman" w:hAnsiTheme="majorBidi" w:cstheme="majorBidi"/>
        </w:rPr>
        <w:t xml:space="preserve"> at a caliper of 0.001 without replacement adjusting for</w:t>
      </w:r>
      <w:r w:rsidR="00C23ED5" w:rsidRPr="0081216A">
        <w:rPr>
          <w:rFonts w:asciiTheme="majorBidi" w:hAnsiTheme="majorBidi" w:cstheme="majorBidi"/>
        </w:rPr>
        <w:t xml:space="preserve"> age, sex, </w:t>
      </w:r>
      <w:r w:rsidR="00817C8B">
        <w:rPr>
          <w:rFonts w:asciiTheme="majorBidi" w:hAnsiTheme="majorBidi" w:cstheme="majorBidi"/>
        </w:rPr>
        <w:t xml:space="preserve">self-reported health status, </w:t>
      </w:r>
      <w:r w:rsidR="00C23ED5" w:rsidRPr="0081216A">
        <w:rPr>
          <w:rFonts w:asciiTheme="majorBidi" w:hAnsiTheme="majorBidi" w:cstheme="majorBidi"/>
        </w:rPr>
        <w:t xml:space="preserve">and </w:t>
      </w:r>
      <w:r w:rsidR="00817C8B">
        <w:rPr>
          <w:rFonts w:asciiTheme="majorBidi" w:hAnsiTheme="majorBidi" w:cstheme="majorBidi"/>
        </w:rPr>
        <w:t xml:space="preserve">reported </w:t>
      </w:r>
      <w:r w:rsidR="00C23ED5" w:rsidRPr="0081216A">
        <w:rPr>
          <w:rFonts w:asciiTheme="majorBidi" w:hAnsiTheme="majorBidi" w:cstheme="majorBidi"/>
        </w:rPr>
        <w:t>comorbidit</w:t>
      </w:r>
      <w:r w:rsidR="00817C8B">
        <w:rPr>
          <w:rFonts w:asciiTheme="majorBidi" w:hAnsiTheme="majorBidi" w:cstheme="majorBidi"/>
        </w:rPr>
        <w:t>ies</w:t>
      </w:r>
      <w:r w:rsidR="00C23ED5">
        <w:rPr>
          <w:rFonts w:asciiTheme="majorBidi" w:hAnsiTheme="majorBidi" w:cstheme="majorBidi"/>
        </w:rPr>
        <w:t xml:space="preserve">. Furthermore, in all our models, we adjusted for income, education, and Census </w:t>
      </w:r>
      <w:r w:rsidR="00817C8B">
        <w:rPr>
          <w:rFonts w:asciiTheme="majorBidi" w:hAnsiTheme="majorBidi" w:cstheme="majorBidi"/>
        </w:rPr>
        <w:t>regions</w:t>
      </w:r>
      <w:r w:rsidR="00C23ED5">
        <w:rPr>
          <w:rFonts w:asciiTheme="majorBidi" w:hAnsiTheme="majorBidi" w:cstheme="majorBidi"/>
        </w:rPr>
        <w:t xml:space="preserve">; and interacted them with race/ethnicity variable. </w:t>
      </w:r>
      <w:r w:rsidR="00817C8B">
        <w:rPr>
          <w:rFonts w:asciiTheme="majorBidi" w:hAnsiTheme="majorBidi" w:cstheme="majorBidi"/>
        </w:rPr>
        <w:t>W</w:t>
      </w:r>
      <w:r w:rsidR="00C23ED5" w:rsidRPr="0081216A">
        <w:rPr>
          <w:rFonts w:asciiTheme="majorBidi" w:hAnsiTheme="majorBidi" w:cstheme="majorBidi"/>
        </w:rPr>
        <w:t xml:space="preserve">e used </w:t>
      </w:r>
      <w:r w:rsidR="00C23ED5">
        <w:rPr>
          <w:rFonts w:asciiTheme="majorBidi" w:hAnsiTheme="majorBidi" w:cstheme="majorBidi"/>
        </w:rPr>
        <w:t xml:space="preserve">a two-part </w:t>
      </w:r>
      <w:r w:rsidR="00C23ED5" w:rsidRPr="0081216A">
        <w:rPr>
          <w:rFonts w:asciiTheme="majorBidi" w:hAnsiTheme="majorBidi" w:cstheme="majorBidi"/>
        </w:rPr>
        <w:t xml:space="preserve">generalized </w:t>
      </w:r>
      <w:r w:rsidR="00817C8B">
        <w:rPr>
          <w:rFonts w:asciiTheme="majorBidi" w:hAnsiTheme="majorBidi" w:cstheme="majorBidi"/>
        </w:rPr>
        <w:t>linear</w:t>
      </w:r>
      <w:r w:rsidR="00C23ED5" w:rsidRPr="0081216A">
        <w:rPr>
          <w:rFonts w:asciiTheme="majorBidi" w:hAnsiTheme="majorBidi" w:cstheme="majorBidi"/>
        </w:rPr>
        <w:t xml:space="preserve"> model </w:t>
      </w:r>
      <w:r w:rsidR="00C23ED5">
        <w:rPr>
          <w:rFonts w:asciiTheme="majorBidi" w:hAnsiTheme="majorBidi" w:cstheme="majorBidi"/>
        </w:rPr>
        <w:t>for</w:t>
      </w:r>
      <w:r w:rsidR="00C23ED5" w:rsidRPr="0081216A">
        <w:rPr>
          <w:rFonts w:asciiTheme="majorBidi" w:hAnsiTheme="majorBidi" w:cstheme="majorBidi"/>
        </w:rPr>
        <w:t xml:space="preserve"> all analyses</w:t>
      </w:r>
      <w:r w:rsidR="00C23ED5">
        <w:rPr>
          <w:rFonts w:asciiTheme="majorBidi" w:hAnsiTheme="majorBidi" w:cstheme="majorBidi"/>
        </w:rPr>
        <w:t>. For any use of services, we applied a binary distribution; for number of services, we used negative binomial distribution</w:t>
      </w:r>
      <w:r w:rsidR="00817C8B">
        <w:rPr>
          <w:rFonts w:asciiTheme="majorBidi" w:hAnsiTheme="majorBidi" w:cstheme="majorBidi"/>
        </w:rPr>
        <w:t>; and for cost, we used gamma distribution</w:t>
      </w:r>
      <w:r w:rsidR="00C23ED5">
        <w:rPr>
          <w:rFonts w:asciiTheme="majorBidi" w:hAnsiTheme="majorBidi" w:cstheme="majorBidi"/>
        </w:rPr>
        <w:t xml:space="preserve">. Using these distributions enabled us to </w:t>
      </w:r>
      <w:r w:rsidR="00C23ED5" w:rsidRPr="0081216A">
        <w:rPr>
          <w:rFonts w:asciiTheme="majorBidi" w:hAnsiTheme="majorBidi" w:cstheme="majorBidi"/>
        </w:rPr>
        <w:t>address skewness</w:t>
      </w:r>
      <w:r w:rsidR="00817C8B">
        <w:rPr>
          <w:rFonts w:asciiTheme="majorBidi" w:hAnsiTheme="majorBidi" w:cstheme="majorBidi"/>
        </w:rPr>
        <w:t xml:space="preserve"> and heteroskedasticity</w:t>
      </w:r>
      <w:r w:rsidR="00C23ED5" w:rsidRPr="0081216A">
        <w:rPr>
          <w:rFonts w:asciiTheme="majorBidi" w:hAnsiTheme="majorBidi" w:cstheme="majorBidi"/>
        </w:rPr>
        <w:t xml:space="preserve"> </w:t>
      </w:r>
      <w:r w:rsidR="00C23ED5" w:rsidRPr="0081216A">
        <w:rPr>
          <w:rFonts w:asciiTheme="majorBidi" w:hAnsiTheme="majorBidi" w:cstheme="majorBidi"/>
          <w:color w:val="000000"/>
          <w:lang w:val="en"/>
        </w:rPr>
        <w:t xml:space="preserve">that </w:t>
      </w:r>
      <w:r w:rsidR="00C23ED5">
        <w:rPr>
          <w:rFonts w:asciiTheme="majorBidi" w:hAnsiTheme="majorBidi" w:cstheme="majorBidi"/>
          <w:color w:val="000000"/>
          <w:lang w:val="en"/>
        </w:rPr>
        <w:t xml:space="preserve">is </w:t>
      </w:r>
      <w:r w:rsidR="00C23ED5" w:rsidRPr="0081216A">
        <w:rPr>
          <w:rFonts w:asciiTheme="majorBidi" w:hAnsiTheme="majorBidi" w:cstheme="majorBidi"/>
          <w:color w:val="000000"/>
          <w:lang w:val="en"/>
        </w:rPr>
        <w:t>inherent in healthcare data.</w:t>
      </w:r>
      <w:r w:rsidR="00817C8B">
        <w:rPr>
          <w:rFonts w:asciiTheme="majorBidi" w:hAnsiTheme="majorBidi" w:cstheme="majorBidi"/>
        </w:rPr>
        <w:t xml:space="preserve"> </w:t>
      </w:r>
    </w:p>
    <w:p w14:paraId="51CD5771" w14:textId="77777777" w:rsidR="006942CE" w:rsidRPr="00E654AC" w:rsidRDefault="006942CE" w:rsidP="006942CE">
      <w:pPr>
        <w:rPr>
          <w:rFonts w:asciiTheme="majorBidi" w:hAnsiTheme="majorBidi" w:cstheme="majorBidi"/>
        </w:rPr>
      </w:pPr>
    </w:p>
    <w:p w14:paraId="6E91AE85" w14:textId="1BB9A41C" w:rsidR="006942CE" w:rsidRDefault="006942CE" w:rsidP="006942CE">
      <w:pPr>
        <w:rPr>
          <w:rFonts w:ascii="Times New Roman" w:hAnsi="Times New Roman" w:cs="Times New Roman"/>
          <w:bCs/>
        </w:rPr>
      </w:pPr>
      <w:r w:rsidRPr="006942CE">
        <w:rPr>
          <w:rFonts w:ascii="Times New Roman" w:hAnsi="Times New Roman" w:cs="Times New Roman"/>
          <w:b/>
        </w:rPr>
        <w:t>Principal Findings</w:t>
      </w:r>
      <w:r w:rsidRPr="00B54311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 xml:space="preserve">Prevalence of CI increased overtime among all racial/ethnic groups. Our risk-adjusted annual predicted outcomes show that 89% of blacks vs. 95% of whites had at least one office visits yearly (89% vs. 95%; diff=6%; 95% CI: -0.08 to -0.03). Similarly, blacks had a </w:t>
      </w:r>
      <w:r w:rsidR="00817C8B">
        <w:rPr>
          <w:rFonts w:ascii="Times New Roman" w:hAnsi="Times New Roman" w:cs="Times New Roman"/>
          <w:bCs/>
        </w:rPr>
        <w:t>3-percentage</w:t>
      </w:r>
      <w:r>
        <w:rPr>
          <w:rFonts w:ascii="Times New Roman" w:hAnsi="Times New Roman" w:cs="Times New Roman"/>
          <w:bCs/>
        </w:rPr>
        <w:t xml:space="preserve"> point lower probability of using any prescription drugs compared with whites (93% vs. 96%; diff=3%; CI: -0.06 to -0.1). Hispanics (12 vs. 14; diff=2; 95% CI: -4.17 to -0.33) and Asians (9 vs. 14; diff=5; 95% CI: -6.37 to -2.84) had about 2 and 5 fewer visits than whites, respectively. Blacks (41 vs. 47; diff=6; 95% CI: -9.50 to -3.83), Hispanics (39 vs. 47; diff=8; 95% CI: -11.29 to -3.34), and Asians (36 vs. 47; diff=11; 95% CI: -15.06 to -5.94) had significantly lower numbers of prescription refills compared with whites. Asians had substantially lower total healthcare costs compared with whites ($13,987 vs. 17,802; diff=3,815; 95% CI: -$7,080.25 to -$548.95). Whites had substantially higher prescription drug costs compared with blacks ($3,928 vs. $3,207; diff=$721; 95% CI: $390.4 to 1,052.5), Hispanics ($3,928 vs. $3,220; diff=$708; 95% CI: $220.1 to $1196.3), and Asians ($3,928 vs. $3,189; diff=$739; 95% CI: $171.5 to $1,306.4).</w:t>
      </w:r>
    </w:p>
    <w:p w14:paraId="0E6D7A28" w14:textId="77777777" w:rsidR="006942CE" w:rsidRDefault="006942CE" w:rsidP="006942CE">
      <w:pPr>
        <w:rPr>
          <w:rFonts w:ascii="Times New Roman" w:hAnsi="Times New Roman"/>
          <w:b/>
          <w:bCs/>
        </w:rPr>
      </w:pPr>
    </w:p>
    <w:p w14:paraId="65E119BA" w14:textId="1E2BB939" w:rsidR="006942CE" w:rsidRDefault="006942CE" w:rsidP="006942CE">
      <w:pPr>
        <w:rPr>
          <w:rFonts w:ascii="Times New Roman" w:hAnsi="Times New Roman" w:cs="Times New Roman"/>
          <w:bCs/>
        </w:rPr>
      </w:pPr>
      <w:r w:rsidRPr="0081216A">
        <w:rPr>
          <w:rFonts w:ascii="Times New Roman" w:hAnsi="Times New Roman"/>
          <w:b/>
          <w:bCs/>
        </w:rPr>
        <w:t>Policy Implications and Conclusions</w:t>
      </w:r>
      <w:r w:rsidRPr="0081216A">
        <w:rPr>
          <w:rFonts w:ascii="Times New Roman" w:hAnsi="Times New Roman"/>
        </w:rPr>
        <w:t>.</w:t>
      </w:r>
      <w:r w:rsidRPr="00B54311">
        <w:rPr>
          <w:rFonts w:ascii="Times New Roman" w:hAnsi="Times New Roman" w:cs="Times New Roman"/>
          <w:b/>
        </w:rPr>
        <w:t>: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Cs/>
        </w:rPr>
        <w:t>Growing numbers of adults from all subpopulations face CI. Having Medicare does not guarantee equity in access to care. For long-term health of minority subpopulations with CI, healthcare policies should focus on improving access to physician services among all subpopulations</w:t>
      </w:r>
      <w:r>
        <w:rPr>
          <w:rFonts w:ascii="Times New Roman" w:eastAsia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</w:t>
      </w:r>
    </w:p>
    <w:p w14:paraId="07A4E6B1" w14:textId="77777777" w:rsidR="006942CE" w:rsidRDefault="006942CE" w:rsidP="006942CE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br w:type="page"/>
      </w:r>
    </w:p>
    <w:p w14:paraId="1D9223DA" w14:textId="77777777" w:rsidR="00EC0B7F" w:rsidRDefault="006E17DA"/>
    <w:sectPr w:rsidR="00EC0B7F" w:rsidSect="00F23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2CE"/>
    <w:rsid w:val="000040B1"/>
    <w:rsid w:val="0006674E"/>
    <w:rsid w:val="00081F5B"/>
    <w:rsid w:val="00087C6E"/>
    <w:rsid w:val="000C42CB"/>
    <w:rsid w:val="001E64C8"/>
    <w:rsid w:val="00220C4A"/>
    <w:rsid w:val="00351739"/>
    <w:rsid w:val="003B3ABD"/>
    <w:rsid w:val="003D3FCE"/>
    <w:rsid w:val="003F1C65"/>
    <w:rsid w:val="0042331E"/>
    <w:rsid w:val="00455763"/>
    <w:rsid w:val="00456EBC"/>
    <w:rsid w:val="0046337E"/>
    <w:rsid w:val="0046364F"/>
    <w:rsid w:val="00490686"/>
    <w:rsid w:val="004957D0"/>
    <w:rsid w:val="004F2DA3"/>
    <w:rsid w:val="004F4335"/>
    <w:rsid w:val="00500A2A"/>
    <w:rsid w:val="00571D3B"/>
    <w:rsid w:val="00586867"/>
    <w:rsid w:val="005D441F"/>
    <w:rsid w:val="00650544"/>
    <w:rsid w:val="006546D2"/>
    <w:rsid w:val="00661006"/>
    <w:rsid w:val="00661F80"/>
    <w:rsid w:val="006942CE"/>
    <w:rsid w:val="006C1A9D"/>
    <w:rsid w:val="006E17DA"/>
    <w:rsid w:val="00721A97"/>
    <w:rsid w:val="0073286C"/>
    <w:rsid w:val="00763208"/>
    <w:rsid w:val="007B0319"/>
    <w:rsid w:val="007B68A9"/>
    <w:rsid w:val="00817C8B"/>
    <w:rsid w:val="00833192"/>
    <w:rsid w:val="008E7388"/>
    <w:rsid w:val="009335DE"/>
    <w:rsid w:val="00967647"/>
    <w:rsid w:val="009730E0"/>
    <w:rsid w:val="009E7EAF"/>
    <w:rsid w:val="00A14822"/>
    <w:rsid w:val="00AC64E9"/>
    <w:rsid w:val="00AE0E76"/>
    <w:rsid w:val="00B037EF"/>
    <w:rsid w:val="00B31BF9"/>
    <w:rsid w:val="00B5489E"/>
    <w:rsid w:val="00B7305D"/>
    <w:rsid w:val="00BD206B"/>
    <w:rsid w:val="00C23ED5"/>
    <w:rsid w:val="00C319CF"/>
    <w:rsid w:val="00C944EA"/>
    <w:rsid w:val="00D13E40"/>
    <w:rsid w:val="00D31DA5"/>
    <w:rsid w:val="00D45CB8"/>
    <w:rsid w:val="00DE1FD4"/>
    <w:rsid w:val="00E40D4B"/>
    <w:rsid w:val="00E54017"/>
    <w:rsid w:val="00E541FA"/>
    <w:rsid w:val="00F130F7"/>
    <w:rsid w:val="00F13F4F"/>
    <w:rsid w:val="00F233FF"/>
    <w:rsid w:val="00F65687"/>
    <w:rsid w:val="00FE1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9A7F9F"/>
  <w15:chartTrackingRefBased/>
  <w15:docId w15:val="{2FCDFD45-0C14-8942-ABFD-38AB6D7CD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942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2019-11-20T09:51:00Z</dcterms:created>
  <dcterms:modified xsi:type="dcterms:W3CDTF">2019-11-20T10:26:00Z</dcterms:modified>
</cp:coreProperties>
</file>