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297C" w:rsidRDefault="005B2FB1" w:rsidP="00CF7228">
      <w:pPr>
        <w:jc w:val="both"/>
      </w:pPr>
      <w:r w:rsidRPr="00863936">
        <w:rPr>
          <w:b/>
        </w:rPr>
        <w:t>Depositional environment &amp; Tectonics during the sedimentation of Jodh</w:t>
      </w:r>
      <w:r w:rsidR="00863936" w:rsidRPr="00863936">
        <w:rPr>
          <w:b/>
        </w:rPr>
        <w:t xml:space="preserve">pur &amp; </w:t>
      </w:r>
      <w:proofErr w:type="spellStart"/>
      <w:r w:rsidR="00863936" w:rsidRPr="00863936">
        <w:rPr>
          <w:b/>
        </w:rPr>
        <w:t>Bilara</w:t>
      </w:r>
      <w:proofErr w:type="spellEnd"/>
      <w:r w:rsidR="00863936" w:rsidRPr="00863936">
        <w:rPr>
          <w:b/>
        </w:rPr>
        <w:t xml:space="preserve"> Groups of </w:t>
      </w:r>
      <w:proofErr w:type="gramStart"/>
      <w:r w:rsidR="00863936" w:rsidRPr="00863936">
        <w:rPr>
          <w:b/>
        </w:rPr>
        <w:t>rocks ,</w:t>
      </w:r>
      <w:proofErr w:type="gramEnd"/>
      <w:r w:rsidR="00863936" w:rsidRPr="00863936">
        <w:rPr>
          <w:b/>
        </w:rPr>
        <w:t xml:space="preserve"> </w:t>
      </w:r>
      <w:proofErr w:type="spellStart"/>
      <w:r w:rsidR="00863936" w:rsidRPr="00863936">
        <w:rPr>
          <w:b/>
        </w:rPr>
        <w:t>M</w:t>
      </w:r>
      <w:r w:rsidRPr="00863936">
        <w:rPr>
          <w:b/>
        </w:rPr>
        <w:t>arwar</w:t>
      </w:r>
      <w:proofErr w:type="spellEnd"/>
      <w:r w:rsidRPr="00863936">
        <w:rPr>
          <w:b/>
        </w:rPr>
        <w:t xml:space="preserve"> super group</w:t>
      </w:r>
      <w:r w:rsidR="00863936" w:rsidRPr="00863936">
        <w:rPr>
          <w:b/>
        </w:rPr>
        <w:t xml:space="preserve"> of India</w:t>
      </w:r>
      <w:r w:rsidR="00863936">
        <w:t xml:space="preserve"> .</w:t>
      </w:r>
    </w:p>
    <w:p w:rsidR="003625AB" w:rsidRDefault="003625AB" w:rsidP="00CF7228">
      <w:pPr>
        <w:jc w:val="both"/>
      </w:pPr>
      <w:r>
        <w:t xml:space="preserve">VISHAVJEET SINGH </w:t>
      </w:r>
      <w:proofErr w:type="gramStart"/>
      <w:r>
        <w:t>GORAYA ,</w:t>
      </w:r>
      <w:proofErr w:type="gramEnd"/>
      <w:r>
        <w:t xml:space="preserve">  UNIVERSITY OF PETROLEUM &amp; ENERGY STUDIES </w:t>
      </w:r>
    </w:p>
    <w:p w:rsidR="003625AB" w:rsidRDefault="00863936" w:rsidP="00CF7228">
      <w:pPr>
        <w:jc w:val="both"/>
        <w:rPr>
          <w:rFonts w:cs="Adobe Caslon Pro"/>
          <w:color w:val="000000"/>
          <w:sz w:val="23"/>
          <w:szCs w:val="23"/>
        </w:rPr>
      </w:pPr>
      <w:r>
        <w:rPr>
          <w:rFonts w:cs="Adobe Caslon Pro"/>
          <w:color w:val="000000"/>
          <w:sz w:val="23"/>
          <w:szCs w:val="23"/>
        </w:rPr>
        <w:t xml:space="preserve">The time span across the Precambrian- Cambrian boundary is very important in the history of Earth as most significant changes have taken place in the lithosphere, biosphere and atmosphere. Evidence of such changes are preserved only at few places where they are affected in general by post-depositional deformation and metamorphism resulting in modification and even total obliteration of the original </w:t>
      </w:r>
      <w:proofErr w:type="spellStart"/>
      <w:r>
        <w:rPr>
          <w:rFonts w:cs="Adobe Caslon Pro"/>
          <w:color w:val="000000"/>
          <w:sz w:val="23"/>
          <w:szCs w:val="23"/>
        </w:rPr>
        <w:t>syn</w:t>
      </w:r>
      <w:proofErr w:type="spellEnd"/>
      <w:r>
        <w:rPr>
          <w:rFonts w:cs="Adobe Caslon Pro"/>
          <w:color w:val="000000"/>
          <w:sz w:val="23"/>
          <w:szCs w:val="23"/>
        </w:rPr>
        <w:t>-sedimentary signatures in the rocks.</w:t>
      </w:r>
      <w:r w:rsidRPr="00863936">
        <w:rPr>
          <w:rFonts w:cs="Adobe Caslon Pro"/>
          <w:color w:val="000000"/>
          <w:sz w:val="23"/>
          <w:szCs w:val="23"/>
        </w:rPr>
        <w:t xml:space="preserve"> </w:t>
      </w:r>
    </w:p>
    <w:p w:rsidR="00863936" w:rsidRDefault="00863936" w:rsidP="00CF7228">
      <w:pPr>
        <w:jc w:val="both"/>
        <w:rPr>
          <w:rFonts w:cs="Adobe Caslon Pro"/>
          <w:color w:val="000000"/>
          <w:sz w:val="23"/>
          <w:szCs w:val="23"/>
        </w:rPr>
      </w:pPr>
      <w:r>
        <w:rPr>
          <w:rFonts w:cs="Adobe Caslon Pro"/>
          <w:color w:val="000000"/>
          <w:sz w:val="23"/>
          <w:szCs w:val="23"/>
        </w:rPr>
        <w:t xml:space="preserve">One such site is the deposits of the </w:t>
      </w:r>
      <w:proofErr w:type="spellStart"/>
      <w:r>
        <w:rPr>
          <w:rFonts w:cs="Adobe Caslon Pro"/>
          <w:color w:val="000000"/>
          <w:sz w:val="23"/>
          <w:szCs w:val="23"/>
        </w:rPr>
        <w:t>Marwar</w:t>
      </w:r>
      <w:proofErr w:type="spellEnd"/>
      <w:r>
        <w:rPr>
          <w:rFonts w:cs="Adobe Caslon Pro"/>
          <w:color w:val="000000"/>
          <w:sz w:val="23"/>
          <w:szCs w:val="23"/>
        </w:rPr>
        <w:t xml:space="preserve"> Basin which are more or less un-deformed and </w:t>
      </w:r>
      <w:proofErr w:type="spellStart"/>
      <w:r>
        <w:rPr>
          <w:rFonts w:cs="Adobe Caslon Pro"/>
          <w:color w:val="000000"/>
          <w:sz w:val="23"/>
          <w:szCs w:val="23"/>
        </w:rPr>
        <w:t>unmetamorphosed</w:t>
      </w:r>
      <w:proofErr w:type="spellEnd"/>
      <w:r>
        <w:rPr>
          <w:rFonts w:cs="Adobe Caslon Pro"/>
          <w:color w:val="000000"/>
          <w:sz w:val="23"/>
          <w:szCs w:val="23"/>
        </w:rPr>
        <w:t xml:space="preserve"> and represents a time period from </w:t>
      </w:r>
      <w:proofErr w:type="spellStart"/>
      <w:r>
        <w:rPr>
          <w:rFonts w:cs="Adobe Caslon Pro"/>
          <w:color w:val="000000"/>
          <w:sz w:val="23"/>
          <w:szCs w:val="23"/>
        </w:rPr>
        <w:t>Neoproterozoic</w:t>
      </w:r>
      <w:proofErr w:type="spellEnd"/>
      <w:r>
        <w:rPr>
          <w:rFonts w:cs="Adobe Caslon Pro"/>
          <w:color w:val="000000"/>
          <w:sz w:val="23"/>
          <w:szCs w:val="23"/>
        </w:rPr>
        <w:t xml:space="preserve"> to Lower Cambrian.</w:t>
      </w:r>
      <w:r w:rsidRPr="00863936">
        <w:rPr>
          <w:rFonts w:cs="Adobe Caslon Pro"/>
          <w:color w:val="000000"/>
          <w:sz w:val="23"/>
          <w:szCs w:val="23"/>
        </w:rPr>
        <w:t xml:space="preserve"> </w:t>
      </w:r>
      <w:r>
        <w:rPr>
          <w:rFonts w:cs="Adobe Caslon Pro"/>
          <w:color w:val="000000"/>
          <w:sz w:val="23"/>
          <w:szCs w:val="23"/>
        </w:rPr>
        <w:t xml:space="preserve">The rocks of the </w:t>
      </w:r>
      <w:proofErr w:type="spellStart"/>
      <w:r>
        <w:rPr>
          <w:rFonts w:cs="Adobe Caslon Pro"/>
          <w:color w:val="000000"/>
          <w:sz w:val="23"/>
          <w:szCs w:val="23"/>
        </w:rPr>
        <w:t>Marwar</w:t>
      </w:r>
      <w:proofErr w:type="spellEnd"/>
      <w:r>
        <w:rPr>
          <w:rFonts w:cs="Adobe Caslon Pro"/>
          <w:color w:val="000000"/>
          <w:sz w:val="23"/>
          <w:szCs w:val="23"/>
        </w:rPr>
        <w:t xml:space="preserve"> Basin are designated as the </w:t>
      </w:r>
      <w:proofErr w:type="spellStart"/>
      <w:r>
        <w:rPr>
          <w:rFonts w:cs="Adobe Caslon Pro"/>
          <w:color w:val="000000"/>
          <w:sz w:val="23"/>
          <w:szCs w:val="23"/>
        </w:rPr>
        <w:t>Marwar</w:t>
      </w:r>
      <w:proofErr w:type="spellEnd"/>
      <w:r>
        <w:rPr>
          <w:rFonts w:cs="Adobe Caslon Pro"/>
          <w:color w:val="000000"/>
          <w:sz w:val="23"/>
          <w:szCs w:val="23"/>
        </w:rPr>
        <w:t xml:space="preserve"> </w:t>
      </w:r>
      <w:proofErr w:type="spellStart"/>
      <w:r>
        <w:rPr>
          <w:rFonts w:cs="Adobe Caslon Pro"/>
          <w:color w:val="000000"/>
          <w:sz w:val="23"/>
          <w:szCs w:val="23"/>
        </w:rPr>
        <w:t>Supergroup</w:t>
      </w:r>
      <w:proofErr w:type="spellEnd"/>
      <w:r>
        <w:rPr>
          <w:rFonts w:cs="Adobe Caslon Pro"/>
          <w:color w:val="000000"/>
          <w:sz w:val="23"/>
          <w:szCs w:val="23"/>
        </w:rPr>
        <w:t xml:space="preserve"> which attains a thickness of ca. 1000 m (</w:t>
      </w:r>
      <w:proofErr w:type="spellStart"/>
      <w:r>
        <w:rPr>
          <w:rFonts w:cs="Adobe Caslon Pro"/>
          <w:color w:val="000000"/>
          <w:sz w:val="23"/>
          <w:szCs w:val="23"/>
        </w:rPr>
        <w:t>Chauhan</w:t>
      </w:r>
      <w:proofErr w:type="spellEnd"/>
      <w:r>
        <w:rPr>
          <w:rFonts w:cs="Adobe Caslon Pro"/>
          <w:color w:val="000000"/>
          <w:sz w:val="23"/>
          <w:szCs w:val="23"/>
        </w:rPr>
        <w:t>, 1999)</w:t>
      </w:r>
      <w:r w:rsidR="003625AB">
        <w:rPr>
          <w:rFonts w:cs="Adobe Caslon Pro"/>
          <w:color w:val="000000"/>
          <w:sz w:val="23"/>
          <w:szCs w:val="23"/>
        </w:rPr>
        <w:t>.</w:t>
      </w:r>
      <w:r w:rsidRPr="00863936">
        <w:rPr>
          <w:rFonts w:cs="Adobe Caslon Pro"/>
          <w:color w:val="000000"/>
          <w:sz w:val="23"/>
          <w:szCs w:val="23"/>
        </w:rPr>
        <w:t xml:space="preserve"> </w:t>
      </w:r>
      <w:proofErr w:type="spellStart"/>
      <w:r>
        <w:rPr>
          <w:rFonts w:cs="Adobe Caslon Pro"/>
          <w:color w:val="000000"/>
          <w:sz w:val="23"/>
          <w:szCs w:val="23"/>
        </w:rPr>
        <w:t>Malani</w:t>
      </w:r>
      <w:proofErr w:type="spellEnd"/>
      <w:r>
        <w:rPr>
          <w:rFonts w:cs="Adobe Caslon Pro"/>
          <w:color w:val="000000"/>
          <w:sz w:val="23"/>
          <w:szCs w:val="23"/>
        </w:rPr>
        <w:t xml:space="preserve"> igneous rocks, represented dominantly by </w:t>
      </w:r>
      <w:proofErr w:type="spellStart"/>
      <w:r>
        <w:rPr>
          <w:rFonts w:cs="Adobe Caslon Pro"/>
          <w:color w:val="000000"/>
          <w:sz w:val="23"/>
          <w:szCs w:val="23"/>
        </w:rPr>
        <w:t>rhyolites</w:t>
      </w:r>
      <w:proofErr w:type="spellEnd"/>
      <w:r>
        <w:rPr>
          <w:rFonts w:cs="Adobe Caslon Pro"/>
          <w:color w:val="000000"/>
          <w:sz w:val="23"/>
          <w:szCs w:val="23"/>
        </w:rPr>
        <w:t xml:space="preserve">, form the basement rocks for the </w:t>
      </w:r>
      <w:proofErr w:type="spellStart"/>
      <w:r>
        <w:rPr>
          <w:rFonts w:cs="Adobe Caslon Pro"/>
          <w:color w:val="000000"/>
          <w:sz w:val="23"/>
          <w:szCs w:val="23"/>
        </w:rPr>
        <w:t>Marwar</w:t>
      </w:r>
      <w:proofErr w:type="spellEnd"/>
      <w:r>
        <w:rPr>
          <w:rFonts w:cs="Adobe Caslon Pro"/>
          <w:color w:val="000000"/>
          <w:sz w:val="23"/>
          <w:szCs w:val="23"/>
        </w:rPr>
        <w:t xml:space="preserve"> Basin.</w:t>
      </w:r>
      <w:r w:rsidRPr="00863936">
        <w:rPr>
          <w:rFonts w:cs="Adobe Caslon Pro"/>
          <w:color w:val="000000"/>
          <w:sz w:val="23"/>
          <w:szCs w:val="23"/>
        </w:rPr>
        <w:t xml:space="preserve"> </w:t>
      </w:r>
      <w:proofErr w:type="spellStart"/>
      <w:r>
        <w:rPr>
          <w:rFonts w:cs="Adobe Caslon Pro"/>
          <w:color w:val="000000"/>
          <w:sz w:val="23"/>
          <w:szCs w:val="23"/>
        </w:rPr>
        <w:t>Pareek</w:t>
      </w:r>
      <w:proofErr w:type="spellEnd"/>
      <w:r>
        <w:rPr>
          <w:rFonts w:cs="Adobe Caslon Pro"/>
          <w:color w:val="000000"/>
          <w:sz w:val="23"/>
          <w:szCs w:val="23"/>
        </w:rPr>
        <w:t xml:space="preserve"> (1981, 1984) has subdivided the </w:t>
      </w:r>
      <w:proofErr w:type="spellStart"/>
      <w:r>
        <w:rPr>
          <w:rFonts w:cs="Adobe Caslon Pro"/>
          <w:color w:val="000000"/>
          <w:sz w:val="23"/>
          <w:szCs w:val="23"/>
        </w:rPr>
        <w:t>Marwar</w:t>
      </w:r>
      <w:proofErr w:type="spellEnd"/>
      <w:r>
        <w:rPr>
          <w:rFonts w:cs="Adobe Caslon Pro"/>
          <w:color w:val="000000"/>
          <w:sz w:val="23"/>
          <w:szCs w:val="23"/>
        </w:rPr>
        <w:t xml:space="preserve"> </w:t>
      </w:r>
      <w:proofErr w:type="spellStart"/>
      <w:r>
        <w:rPr>
          <w:rFonts w:cs="Adobe Caslon Pro"/>
          <w:color w:val="000000"/>
          <w:sz w:val="23"/>
          <w:szCs w:val="23"/>
        </w:rPr>
        <w:t>Supergroup</w:t>
      </w:r>
      <w:proofErr w:type="spellEnd"/>
      <w:r>
        <w:rPr>
          <w:rFonts w:cs="Adobe Caslon Pro"/>
          <w:color w:val="000000"/>
          <w:sz w:val="23"/>
          <w:szCs w:val="23"/>
        </w:rPr>
        <w:t xml:space="preserve"> into three groups: </w:t>
      </w:r>
      <w:r w:rsidRPr="003625AB">
        <w:rPr>
          <w:rFonts w:cs="Adobe Caslon Pro"/>
          <w:b/>
          <w:color w:val="000000"/>
          <w:sz w:val="23"/>
          <w:szCs w:val="23"/>
        </w:rPr>
        <w:t xml:space="preserve">the Jodhpur Group, the </w:t>
      </w:r>
      <w:proofErr w:type="spellStart"/>
      <w:r w:rsidRPr="003625AB">
        <w:rPr>
          <w:rFonts w:cs="Adobe Caslon Pro"/>
          <w:b/>
          <w:color w:val="000000"/>
          <w:sz w:val="23"/>
          <w:szCs w:val="23"/>
        </w:rPr>
        <w:t>Bilara</w:t>
      </w:r>
      <w:proofErr w:type="spellEnd"/>
      <w:r w:rsidRPr="003625AB">
        <w:rPr>
          <w:rFonts w:cs="Adobe Caslon Pro"/>
          <w:b/>
          <w:color w:val="000000"/>
          <w:sz w:val="23"/>
          <w:szCs w:val="23"/>
        </w:rPr>
        <w:t xml:space="preserve"> Group and the </w:t>
      </w:r>
      <w:proofErr w:type="spellStart"/>
      <w:r w:rsidRPr="003625AB">
        <w:rPr>
          <w:rFonts w:cs="Adobe Caslon Pro"/>
          <w:b/>
          <w:color w:val="000000"/>
          <w:sz w:val="23"/>
          <w:szCs w:val="23"/>
        </w:rPr>
        <w:t>Nagaur</w:t>
      </w:r>
      <w:proofErr w:type="spellEnd"/>
      <w:r w:rsidRPr="003625AB">
        <w:rPr>
          <w:rFonts w:cs="Adobe Caslon Pro"/>
          <w:b/>
          <w:color w:val="000000"/>
          <w:sz w:val="23"/>
          <w:szCs w:val="23"/>
        </w:rPr>
        <w:t xml:space="preserve"> Group </w:t>
      </w:r>
      <w:r w:rsidR="003625AB">
        <w:rPr>
          <w:rFonts w:cs="Adobe Caslon Pro"/>
          <w:color w:val="000000"/>
          <w:sz w:val="23"/>
          <w:szCs w:val="23"/>
        </w:rPr>
        <w:t>.</w:t>
      </w:r>
      <w:r>
        <w:rPr>
          <w:rFonts w:cs="Adobe Caslon Pro"/>
          <w:color w:val="000000"/>
          <w:sz w:val="23"/>
          <w:szCs w:val="23"/>
        </w:rPr>
        <w:t xml:space="preserve">Each group has been further subdivided into formations. The Jodhpur and </w:t>
      </w:r>
      <w:proofErr w:type="spellStart"/>
      <w:r>
        <w:rPr>
          <w:rFonts w:cs="Adobe Caslon Pro"/>
          <w:color w:val="000000"/>
          <w:sz w:val="23"/>
          <w:szCs w:val="23"/>
        </w:rPr>
        <w:t>Nagaur</w:t>
      </w:r>
      <w:proofErr w:type="spellEnd"/>
      <w:r>
        <w:rPr>
          <w:rFonts w:cs="Adobe Caslon Pro"/>
          <w:color w:val="000000"/>
          <w:sz w:val="23"/>
          <w:szCs w:val="23"/>
        </w:rPr>
        <w:t xml:space="preserve"> Groups are represented by </w:t>
      </w:r>
      <w:proofErr w:type="spellStart"/>
      <w:r>
        <w:rPr>
          <w:rFonts w:cs="Adobe Caslon Pro"/>
          <w:color w:val="000000"/>
          <w:sz w:val="23"/>
          <w:szCs w:val="23"/>
        </w:rPr>
        <w:t>arenaceous</w:t>
      </w:r>
      <w:proofErr w:type="spellEnd"/>
      <w:r>
        <w:rPr>
          <w:rFonts w:cs="Adobe Caslon Pro"/>
          <w:color w:val="000000"/>
          <w:sz w:val="23"/>
          <w:szCs w:val="23"/>
        </w:rPr>
        <w:t xml:space="preserve"> </w:t>
      </w:r>
      <w:proofErr w:type="spellStart"/>
      <w:r>
        <w:rPr>
          <w:rFonts w:cs="Adobe Caslon Pro"/>
          <w:color w:val="000000"/>
          <w:sz w:val="23"/>
          <w:szCs w:val="23"/>
        </w:rPr>
        <w:t>facies</w:t>
      </w:r>
      <w:proofErr w:type="spellEnd"/>
      <w:r>
        <w:rPr>
          <w:rFonts w:cs="Adobe Caslon Pro"/>
          <w:color w:val="000000"/>
          <w:sz w:val="23"/>
          <w:szCs w:val="23"/>
        </w:rPr>
        <w:t xml:space="preserve"> and the </w:t>
      </w:r>
      <w:proofErr w:type="spellStart"/>
      <w:r>
        <w:rPr>
          <w:rFonts w:cs="Adobe Caslon Pro"/>
          <w:color w:val="000000"/>
          <w:sz w:val="23"/>
          <w:szCs w:val="23"/>
        </w:rPr>
        <w:t>Bilara</w:t>
      </w:r>
      <w:proofErr w:type="spellEnd"/>
      <w:r>
        <w:rPr>
          <w:rFonts w:cs="Adobe Caslon Pro"/>
          <w:color w:val="000000"/>
          <w:sz w:val="23"/>
          <w:szCs w:val="23"/>
        </w:rPr>
        <w:t xml:space="preserve"> Group is represented by a calcareous </w:t>
      </w:r>
      <w:proofErr w:type="spellStart"/>
      <w:r>
        <w:rPr>
          <w:rFonts w:cs="Adobe Caslon Pro"/>
          <w:color w:val="000000"/>
          <w:sz w:val="23"/>
          <w:szCs w:val="23"/>
        </w:rPr>
        <w:t>facies</w:t>
      </w:r>
      <w:proofErr w:type="spellEnd"/>
      <w:r w:rsidR="003625AB">
        <w:rPr>
          <w:rFonts w:cs="Adobe Caslon Pro"/>
          <w:color w:val="000000"/>
          <w:sz w:val="23"/>
          <w:szCs w:val="23"/>
        </w:rPr>
        <w:t>.</w:t>
      </w:r>
    </w:p>
    <w:p w:rsidR="003625AB" w:rsidRDefault="003625AB" w:rsidP="00CF7228">
      <w:pPr>
        <w:jc w:val="both"/>
        <w:rPr>
          <w:rFonts w:cs="Adobe Caslon Pro"/>
          <w:color w:val="000000"/>
          <w:sz w:val="23"/>
          <w:szCs w:val="23"/>
        </w:rPr>
      </w:pPr>
      <w:r>
        <w:rPr>
          <w:rFonts w:cs="Adobe Caslon Pro"/>
          <w:color w:val="000000"/>
          <w:sz w:val="23"/>
          <w:szCs w:val="23"/>
        </w:rPr>
        <w:t xml:space="preserve">The Jodhpur Group represents the oldest group of the </w:t>
      </w:r>
      <w:proofErr w:type="spellStart"/>
      <w:r>
        <w:rPr>
          <w:rFonts w:cs="Adobe Caslon Pro"/>
          <w:color w:val="000000"/>
          <w:sz w:val="23"/>
          <w:szCs w:val="23"/>
        </w:rPr>
        <w:t>Marwar</w:t>
      </w:r>
      <w:proofErr w:type="spellEnd"/>
      <w:r>
        <w:rPr>
          <w:rFonts w:cs="Adobe Caslon Pro"/>
          <w:color w:val="000000"/>
          <w:sz w:val="23"/>
          <w:szCs w:val="23"/>
        </w:rPr>
        <w:t xml:space="preserve"> </w:t>
      </w:r>
      <w:proofErr w:type="spellStart"/>
      <w:r>
        <w:rPr>
          <w:rFonts w:cs="Adobe Caslon Pro"/>
          <w:color w:val="000000"/>
          <w:sz w:val="23"/>
          <w:szCs w:val="23"/>
        </w:rPr>
        <w:t>Supergroup</w:t>
      </w:r>
      <w:proofErr w:type="spellEnd"/>
      <w:r>
        <w:rPr>
          <w:rFonts w:cs="Adobe Caslon Pro"/>
          <w:color w:val="000000"/>
          <w:sz w:val="23"/>
          <w:szCs w:val="23"/>
        </w:rPr>
        <w:t xml:space="preserve"> which </w:t>
      </w:r>
      <w:proofErr w:type="spellStart"/>
      <w:r>
        <w:rPr>
          <w:rFonts w:cs="Adobe Caslon Pro"/>
          <w:color w:val="000000"/>
          <w:sz w:val="23"/>
          <w:szCs w:val="23"/>
        </w:rPr>
        <w:t>unconformably</w:t>
      </w:r>
      <w:proofErr w:type="spellEnd"/>
      <w:r>
        <w:rPr>
          <w:rFonts w:cs="Adobe Caslon Pro"/>
          <w:color w:val="000000"/>
          <w:sz w:val="23"/>
          <w:szCs w:val="23"/>
        </w:rPr>
        <w:t xml:space="preserve"> overlies the </w:t>
      </w:r>
      <w:proofErr w:type="spellStart"/>
      <w:r>
        <w:rPr>
          <w:rFonts w:cs="Adobe Caslon Pro"/>
          <w:color w:val="000000"/>
          <w:sz w:val="23"/>
          <w:szCs w:val="23"/>
        </w:rPr>
        <w:t>Malani</w:t>
      </w:r>
      <w:proofErr w:type="spellEnd"/>
      <w:r>
        <w:rPr>
          <w:rFonts w:cs="Adobe Caslon Pro"/>
          <w:color w:val="000000"/>
          <w:sz w:val="23"/>
          <w:szCs w:val="23"/>
        </w:rPr>
        <w:t xml:space="preserve"> Igneous Suite.</w:t>
      </w:r>
    </w:p>
    <w:p w:rsidR="003625AB" w:rsidRDefault="003625AB" w:rsidP="00CF7228">
      <w:pPr>
        <w:jc w:val="both"/>
        <w:rPr>
          <w:rFonts w:cs="Adobe Caslon Pro"/>
          <w:color w:val="000000"/>
          <w:sz w:val="23"/>
          <w:szCs w:val="23"/>
        </w:rPr>
      </w:pPr>
      <w:r>
        <w:rPr>
          <w:rFonts w:cs="Adobe Caslon Pro"/>
          <w:color w:val="000000"/>
          <w:sz w:val="23"/>
          <w:szCs w:val="23"/>
        </w:rPr>
        <w:t xml:space="preserve">The </w:t>
      </w:r>
      <w:proofErr w:type="spellStart"/>
      <w:r>
        <w:rPr>
          <w:rFonts w:cs="Adobe Caslon Pro"/>
          <w:color w:val="000000"/>
          <w:sz w:val="23"/>
          <w:szCs w:val="23"/>
        </w:rPr>
        <w:t>Bilara</w:t>
      </w:r>
      <w:proofErr w:type="spellEnd"/>
      <w:r>
        <w:rPr>
          <w:rFonts w:cs="Adobe Caslon Pro"/>
          <w:color w:val="000000"/>
          <w:sz w:val="23"/>
          <w:szCs w:val="23"/>
        </w:rPr>
        <w:t xml:space="preserve"> Group represents the middle part of the </w:t>
      </w:r>
      <w:proofErr w:type="spellStart"/>
      <w:r>
        <w:rPr>
          <w:rFonts w:cs="Adobe Caslon Pro"/>
          <w:color w:val="000000"/>
          <w:sz w:val="23"/>
          <w:szCs w:val="23"/>
        </w:rPr>
        <w:t>Marwar</w:t>
      </w:r>
      <w:proofErr w:type="spellEnd"/>
      <w:r>
        <w:rPr>
          <w:rFonts w:cs="Adobe Caslon Pro"/>
          <w:color w:val="000000"/>
          <w:sz w:val="23"/>
          <w:szCs w:val="23"/>
        </w:rPr>
        <w:t xml:space="preserve"> </w:t>
      </w:r>
      <w:proofErr w:type="spellStart"/>
      <w:r>
        <w:rPr>
          <w:rFonts w:cs="Adobe Caslon Pro"/>
          <w:color w:val="000000"/>
          <w:sz w:val="23"/>
          <w:szCs w:val="23"/>
        </w:rPr>
        <w:t>Supergroup</w:t>
      </w:r>
      <w:proofErr w:type="spellEnd"/>
      <w:r>
        <w:rPr>
          <w:rFonts w:cs="Adobe Caslon Pro"/>
          <w:color w:val="000000"/>
          <w:sz w:val="23"/>
          <w:szCs w:val="23"/>
        </w:rPr>
        <w:t xml:space="preserve"> and is made up of calcareous </w:t>
      </w:r>
      <w:proofErr w:type="spellStart"/>
      <w:r>
        <w:rPr>
          <w:rFonts w:cs="Adobe Caslon Pro"/>
          <w:color w:val="000000"/>
          <w:sz w:val="23"/>
          <w:szCs w:val="23"/>
        </w:rPr>
        <w:t>facies</w:t>
      </w:r>
      <w:proofErr w:type="spellEnd"/>
      <w:r>
        <w:rPr>
          <w:rFonts w:cs="Adobe Caslon Pro"/>
          <w:color w:val="000000"/>
          <w:sz w:val="23"/>
          <w:szCs w:val="23"/>
        </w:rPr>
        <w:t xml:space="preserve"> with dominant </w:t>
      </w:r>
      <w:proofErr w:type="spellStart"/>
      <w:r>
        <w:rPr>
          <w:rFonts w:cs="Adobe Caslon Pro"/>
          <w:color w:val="000000"/>
          <w:sz w:val="23"/>
          <w:szCs w:val="23"/>
        </w:rPr>
        <w:t>lithology</w:t>
      </w:r>
      <w:proofErr w:type="spellEnd"/>
      <w:r>
        <w:rPr>
          <w:rFonts w:cs="Adobe Caslon Pro"/>
          <w:color w:val="000000"/>
          <w:sz w:val="23"/>
          <w:szCs w:val="23"/>
        </w:rPr>
        <w:t xml:space="preserve"> made up of dolomite, limestone and </w:t>
      </w:r>
      <w:proofErr w:type="spellStart"/>
      <w:r>
        <w:rPr>
          <w:rFonts w:cs="Adobe Caslon Pro"/>
          <w:color w:val="000000"/>
          <w:sz w:val="23"/>
          <w:szCs w:val="23"/>
        </w:rPr>
        <w:t>dolomitic</w:t>
      </w:r>
      <w:proofErr w:type="spellEnd"/>
      <w:r>
        <w:rPr>
          <w:rFonts w:cs="Adobe Caslon Pro"/>
          <w:color w:val="000000"/>
          <w:sz w:val="23"/>
          <w:szCs w:val="23"/>
        </w:rPr>
        <w:t xml:space="preserve"> limestone and </w:t>
      </w:r>
      <w:proofErr w:type="spellStart"/>
      <w:r>
        <w:rPr>
          <w:rFonts w:cs="Adobe Caslon Pro"/>
          <w:color w:val="000000"/>
          <w:sz w:val="23"/>
          <w:szCs w:val="23"/>
        </w:rPr>
        <w:t>shales</w:t>
      </w:r>
      <w:proofErr w:type="spellEnd"/>
      <w:r>
        <w:rPr>
          <w:rFonts w:cs="Adobe Caslon Pro"/>
          <w:color w:val="000000"/>
          <w:sz w:val="23"/>
          <w:szCs w:val="23"/>
        </w:rPr>
        <w:t xml:space="preserve">. The outcrops of the </w:t>
      </w:r>
      <w:proofErr w:type="spellStart"/>
      <w:r>
        <w:rPr>
          <w:rFonts w:cs="Adobe Caslon Pro"/>
          <w:color w:val="000000"/>
          <w:sz w:val="23"/>
          <w:szCs w:val="23"/>
        </w:rPr>
        <w:t>Bilara</w:t>
      </w:r>
      <w:proofErr w:type="spellEnd"/>
      <w:r>
        <w:rPr>
          <w:rFonts w:cs="Adobe Caslon Pro"/>
          <w:color w:val="000000"/>
          <w:sz w:val="23"/>
          <w:szCs w:val="23"/>
        </w:rPr>
        <w:t xml:space="preserve"> Group are scanty and can be seen only in the southern part of the basin.</w:t>
      </w:r>
    </w:p>
    <w:p w:rsidR="003625AB" w:rsidRDefault="003625AB" w:rsidP="00CF7228">
      <w:pPr>
        <w:jc w:val="both"/>
      </w:pPr>
      <w:r>
        <w:rPr>
          <w:rFonts w:cs="Adobe Caslon Pro"/>
          <w:color w:val="000000"/>
          <w:sz w:val="23"/>
          <w:szCs w:val="23"/>
        </w:rPr>
        <w:t xml:space="preserve">The depositional environments of the Jodhpur &amp; </w:t>
      </w:r>
      <w:proofErr w:type="spellStart"/>
      <w:r>
        <w:rPr>
          <w:rFonts w:cs="Adobe Caslon Pro"/>
          <w:color w:val="000000"/>
          <w:sz w:val="23"/>
          <w:szCs w:val="23"/>
        </w:rPr>
        <w:t>Bilara</w:t>
      </w:r>
      <w:proofErr w:type="spellEnd"/>
      <w:r>
        <w:rPr>
          <w:rFonts w:cs="Adobe Caslon Pro"/>
          <w:color w:val="000000"/>
          <w:sz w:val="23"/>
          <w:szCs w:val="23"/>
        </w:rPr>
        <w:t xml:space="preserve"> Groups are interpreted on the basis of the information derived from the outcrops during a field visit to the </w:t>
      </w:r>
      <w:proofErr w:type="gramStart"/>
      <w:r>
        <w:rPr>
          <w:rFonts w:cs="Adobe Caslon Pro"/>
          <w:color w:val="000000"/>
          <w:sz w:val="23"/>
          <w:szCs w:val="23"/>
        </w:rPr>
        <w:t>basin .</w:t>
      </w:r>
      <w:proofErr w:type="gramEnd"/>
      <w:r>
        <w:rPr>
          <w:rFonts w:cs="Adobe Caslon Pro"/>
          <w:color w:val="000000"/>
          <w:sz w:val="23"/>
          <w:szCs w:val="23"/>
        </w:rPr>
        <w:t xml:space="preserve"> According to our </w:t>
      </w:r>
      <w:proofErr w:type="gramStart"/>
      <w:r>
        <w:rPr>
          <w:rFonts w:cs="Adobe Caslon Pro"/>
          <w:color w:val="000000"/>
          <w:sz w:val="23"/>
          <w:szCs w:val="23"/>
        </w:rPr>
        <w:t>inferences ,</w:t>
      </w:r>
      <w:proofErr w:type="gramEnd"/>
      <w:r>
        <w:rPr>
          <w:rFonts w:cs="Adobe Caslon Pro"/>
          <w:color w:val="000000"/>
          <w:sz w:val="23"/>
          <w:szCs w:val="23"/>
        </w:rPr>
        <w:t xml:space="preserve"> the Jodhpur group was deposited in Fluvial environment whereas the </w:t>
      </w:r>
      <w:proofErr w:type="spellStart"/>
      <w:r>
        <w:rPr>
          <w:rFonts w:cs="Adobe Caslon Pro"/>
          <w:color w:val="000000"/>
          <w:sz w:val="23"/>
          <w:szCs w:val="23"/>
        </w:rPr>
        <w:t>Bilara</w:t>
      </w:r>
      <w:proofErr w:type="spellEnd"/>
      <w:r>
        <w:rPr>
          <w:rFonts w:cs="Adobe Caslon Pro"/>
          <w:color w:val="000000"/>
          <w:sz w:val="23"/>
          <w:szCs w:val="23"/>
        </w:rPr>
        <w:t xml:space="preserve"> group was deposited under Marine environment .</w:t>
      </w:r>
    </w:p>
    <w:sectPr w:rsidR="003625AB" w:rsidSect="00C2445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dobe Caslon Pro">
    <w:altName w:val="Adobe Caslon Pro"/>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5B2FB1"/>
    <w:rsid w:val="003625AB"/>
    <w:rsid w:val="005B2FB1"/>
    <w:rsid w:val="00863936"/>
    <w:rsid w:val="008F297C"/>
    <w:rsid w:val="00C24458"/>
    <w:rsid w:val="00CF7228"/>
    <w:rsid w:val="00EB406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445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314</Words>
  <Characters>1795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5</cp:revision>
  <dcterms:created xsi:type="dcterms:W3CDTF">2018-02-24T16:51:00Z</dcterms:created>
  <dcterms:modified xsi:type="dcterms:W3CDTF">2018-03-13T16:32:00Z</dcterms:modified>
</cp:coreProperties>
</file>