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357" w:rsidRPr="003C0970" w:rsidRDefault="002B2357" w:rsidP="00692BC5">
      <w:pPr>
        <w:rPr>
          <w:rFonts w:ascii="Times New Roman" w:hAnsi="Times New Roman" w:cs="Times New Roman"/>
          <w:b/>
          <w:sz w:val="28"/>
        </w:rPr>
      </w:pPr>
      <w:r w:rsidRPr="003C0970">
        <w:rPr>
          <w:rFonts w:ascii="Times New Roman" w:hAnsi="Times New Roman" w:cs="Times New Roman"/>
          <w:b/>
          <w:sz w:val="28"/>
        </w:rPr>
        <w:t>GEOCHEMICAL CHARACTERISTICS OF OIL SHALE (MAJOR AND TRACE ELEMENTS); DEPOSITIONAL ENVIRONMENT OF TRIASSIC YANCHANG FORMATION (CHANG 7 MEMBER) AT TONGCHUAN, ORDOS BASIN.</w:t>
      </w:r>
    </w:p>
    <w:p w:rsidR="00692BC5" w:rsidRPr="003C0970" w:rsidRDefault="00692BC5" w:rsidP="00692BC5">
      <w:pPr>
        <w:rPr>
          <w:sz w:val="20"/>
          <w:szCs w:val="20"/>
        </w:rPr>
      </w:pPr>
      <w:r w:rsidRPr="003C0970">
        <w:rPr>
          <w:rFonts w:ascii="Times New Roman" w:hAnsi="Times New Roman" w:cs="Times New Roman"/>
          <w:sz w:val="24"/>
          <w:szCs w:val="24"/>
        </w:rPr>
        <w:t>Zhigang Yao</w:t>
      </w:r>
      <w:r w:rsidRPr="003C0970">
        <w:rPr>
          <w:rFonts w:ascii="Times New Roman" w:hAnsi="Times New Roman" w:cs="Times New Roman" w:hint="eastAsia"/>
          <w:sz w:val="24"/>
          <w:szCs w:val="24"/>
        </w:rPr>
        <w:t xml:space="preserve">   </w:t>
      </w:r>
      <w:r w:rsidRPr="003C0970">
        <w:rPr>
          <w:sz w:val="20"/>
          <w:szCs w:val="20"/>
        </w:rPr>
        <w:t xml:space="preserve">School of </w:t>
      </w:r>
      <w:r w:rsidRPr="003C0970">
        <w:rPr>
          <w:rFonts w:hint="eastAsia"/>
          <w:sz w:val="20"/>
          <w:szCs w:val="20"/>
        </w:rPr>
        <w:t xml:space="preserve">Earth Sciences and </w:t>
      </w:r>
      <w:r w:rsidRPr="003C0970">
        <w:rPr>
          <w:sz w:val="20"/>
          <w:szCs w:val="20"/>
        </w:rPr>
        <w:t>Engineering</w:t>
      </w:r>
      <w:r w:rsidRPr="003C0970">
        <w:rPr>
          <w:rFonts w:hint="eastAsia"/>
          <w:sz w:val="20"/>
          <w:szCs w:val="20"/>
        </w:rPr>
        <w:t>,</w:t>
      </w:r>
      <w:r w:rsidRPr="003C0970">
        <w:rPr>
          <w:sz w:val="20"/>
          <w:szCs w:val="20"/>
        </w:rPr>
        <w:t xml:space="preserve"> Xi’an Shiyou University, Shaanxi, China,</w:t>
      </w:r>
      <w:r w:rsidRPr="003C0970">
        <w:rPr>
          <w:rFonts w:hint="eastAsia"/>
          <w:sz w:val="20"/>
          <w:szCs w:val="20"/>
        </w:rPr>
        <w:t xml:space="preserve"> </w:t>
      </w:r>
      <w:r w:rsidRPr="003C0970">
        <w:rPr>
          <w:sz w:val="20"/>
          <w:szCs w:val="20"/>
        </w:rPr>
        <w:t>710065</w:t>
      </w:r>
    </w:p>
    <w:p w:rsidR="00692BC5" w:rsidRPr="003C0970" w:rsidRDefault="00692BC5" w:rsidP="00692BC5">
      <w:pPr>
        <w:rPr>
          <w:rFonts w:ascii="Times New Roman" w:hAnsi="Times New Roman" w:cs="Times New Roman"/>
          <w:sz w:val="24"/>
          <w:szCs w:val="24"/>
        </w:rPr>
      </w:pPr>
      <w:r w:rsidRPr="003C0970">
        <w:rPr>
          <w:rFonts w:hint="eastAsia"/>
          <w:sz w:val="24"/>
        </w:rPr>
        <w:t xml:space="preserve">Wahid Abbul   </w:t>
      </w:r>
      <w:r w:rsidRPr="003C0970">
        <w:rPr>
          <w:sz w:val="20"/>
          <w:szCs w:val="20"/>
        </w:rPr>
        <w:t xml:space="preserve">School of </w:t>
      </w:r>
      <w:r w:rsidRPr="003C0970">
        <w:rPr>
          <w:rFonts w:hint="eastAsia"/>
          <w:sz w:val="20"/>
          <w:szCs w:val="20"/>
        </w:rPr>
        <w:t xml:space="preserve">Earth Sciences and </w:t>
      </w:r>
      <w:r w:rsidRPr="003C0970">
        <w:rPr>
          <w:sz w:val="20"/>
          <w:szCs w:val="20"/>
        </w:rPr>
        <w:t>Engineering</w:t>
      </w:r>
      <w:r w:rsidRPr="003C0970">
        <w:rPr>
          <w:rFonts w:hint="eastAsia"/>
          <w:sz w:val="20"/>
          <w:szCs w:val="20"/>
        </w:rPr>
        <w:t>,</w:t>
      </w:r>
      <w:r w:rsidRPr="003C0970">
        <w:rPr>
          <w:sz w:val="20"/>
          <w:szCs w:val="20"/>
        </w:rPr>
        <w:t xml:space="preserve"> Xi’an Shiyou University, Shaanxi, China,</w:t>
      </w:r>
      <w:r w:rsidRPr="003C0970">
        <w:rPr>
          <w:rFonts w:hint="eastAsia"/>
          <w:sz w:val="20"/>
          <w:szCs w:val="20"/>
        </w:rPr>
        <w:t xml:space="preserve"> </w:t>
      </w:r>
      <w:r w:rsidRPr="003C0970">
        <w:rPr>
          <w:sz w:val="20"/>
          <w:szCs w:val="20"/>
        </w:rPr>
        <w:t>710065</w:t>
      </w:r>
    </w:p>
    <w:p w:rsidR="00D824DC" w:rsidRDefault="0029140B" w:rsidP="002B2357">
      <w:pPr>
        <w:spacing w:before="240" w:after="240"/>
        <w:rPr>
          <w:rFonts w:ascii="Times New Roman" w:hAnsi="Times New Roman" w:cs="Times New Roman" w:hint="eastAsia"/>
          <w:sz w:val="24"/>
          <w:szCs w:val="24"/>
        </w:rPr>
      </w:pPr>
      <w:r w:rsidRPr="00D824DC">
        <w:rPr>
          <w:rFonts w:ascii="Times New Roman" w:hAnsi="Times New Roman" w:cs="Times New Roman"/>
          <w:b/>
          <w:noProof/>
          <w:sz w:val="24"/>
          <w:szCs w:val="24"/>
        </w:rPr>
        <w:pict>
          <v:shapetype id="_x0000_t202" coordsize="21600,21600" o:spt="202" path="m,l,21600r21600,l21600,xe">
            <v:stroke joinstyle="miter"/>
            <v:path gradientshapeok="t" o:connecttype="rect"/>
          </v:shapetype>
          <v:shape id="_x0000_s1029" type="#_x0000_t202" style="position:absolute;left:0;text-align:left;margin-left:262.85pt;margin-top:318.65pt;width:241.5pt;height:289.2pt;z-index:251662336">
            <v:textbox>
              <w:txbxContent>
                <w:p w:rsidR="002B2357" w:rsidRPr="0042093C" w:rsidRDefault="0042093C" w:rsidP="0042093C">
                  <w:pPr>
                    <w:rPr>
                      <w:noProof/>
                      <w:sz w:val="14"/>
                      <w:szCs w:val="14"/>
                    </w:rPr>
                  </w:pPr>
                  <w:r w:rsidRPr="0042093C">
                    <w:rPr>
                      <w:rFonts w:hint="eastAsia"/>
                      <w:noProof/>
                      <w:sz w:val="14"/>
                      <w:szCs w:val="14"/>
                    </w:rPr>
                    <w:t xml:space="preserve">1. </w:t>
                  </w:r>
                  <w:r w:rsidRPr="0042093C">
                    <w:rPr>
                      <w:noProof/>
                      <w:sz w:val="14"/>
                      <w:szCs w:val="14"/>
                    </w:rPr>
                    <w:t xml:space="preserve">Cullers, R. L. (2000). The geochemistry of shales, siltstones and sandstones of Pennsylvanian-Permian age, Colorado, USA: Implications for provenance and metamorphic studies. </w:t>
                  </w:r>
                  <w:r w:rsidRPr="0042093C">
                    <w:rPr>
                      <w:i/>
                      <w:iCs/>
                      <w:noProof/>
                      <w:sz w:val="14"/>
                      <w:szCs w:val="14"/>
                    </w:rPr>
                    <w:t>Lithos</w:t>
                  </w:r>
                  <w:r w:rsidRPr="0042093C">
                    <w:rPr>
                      <w:noProof/>
                      <w:sz w:val="14"/>
                      <w:szCs w:val="14"/>
                    </w:rPr>
                    <w:t xml:space="preserve">, </w:t>
                  </w:r>
                  <w:r w:rsidRPr="0042093C">
                    <w:rPr>
                      <w:i/>
                      <w:iCs/>
                      <w:noProof/>
                      <w:sz w:val="14"/>
                      <w:szCs w:val="14"/>
                    </w:rPr>
                    <w:t>51</w:t>
                  </w:r>
                  <w:r w:rsidRPr="0042093C">
                    <w:rPr>
                      <w:noProof/>
                      <w:sz w:val="14"/>
                      <w:szCs w:val="14"/>
                    </w:rPr>
                    <w:t xml:space="preserve">(3), 181–203. </w:t>
                  </w:r>
                  <w:hyperlink r:id="rId5" w:history="1">
                    <w:r w:rsidRPr="0042093C">
                      <w:rPr>
                        <w:rStyle w:val="a4"/>
                        <w:noProof/>
                        <w:sz w:val="14"/>
                        <w:szCs w:val="14"/>
                      </w:rPr>
                      <w:t>http://doi.org/10.1016/S0024-4937(99)00063-8</w:t>
                    </w:r>
                  </w:hyperlink>
                </w:p>
                <w:p w:rsidR="0042093C" w:rsidRDefault="0042093C" w:rsidP="0042093C">
                  <w:pPr>
                    <w:rPr>
                      <w:sz w:val="14"/>
                      <w:szCs w:val="14"/>
                    </w:rPr>
                  </w:pPr>
                  <w:r w:rsidRPr="0042093C">
                    <w:rPr>
                      <w:rFonts w:hint="eastAsia"/>
                      <w:sz w:val="14"/>
                      <w:szCs w:val="14"/>
                    </w:rPr>
                    <w:t xml:space="preserve">2. </w:t>
                  </w:r>
                  <w:r w:rsidRPr="0042093C">
                    <w:rPr>
                      <w:sz w:val="14"/>
                      <w:szCs w:val="14"/>
                    </w:rPr>
                    <w:t>GAO, S. (2010). Chemical composition of the continental crust: a perspective from China. Geochemical News, (143), 1–16. Retrieved from</w:t>
                  </w:r>
                  <w:r w:rsidRPr="0042093C">
                    <w:rPr>
                      <w:rFonts w:hint="eastAsia"/>
                      <w:sz w:val="14"/>
                      <w:szCs w:val="14"/>
                    </w:rPr>
                    <w:t xml:space="preserve"> </w:t>
                  </w:r>
                  <w:r w:rsidRPr="0042093C">
                    <w:rPr>
                      <w:sz w:val="14"/>
                      <w:szCs w:val="14"/>
                    </w:rPr>
                    <w:t>papers://32862730-33e4-4f24-9997-a2585c9ed6b6/Paper/p1193</w:t>
                  </w:r>
                </w:p>
                <w:p w:rsidR="0042093C" w:rsidRDefault="0042093C" w:rsidP="0042093C">
                  <w:pPr>
                    <w:rPr>
                      <w:sz w:val="14"/>
                      <w:szCs w:val="14"/>
                    </w:rPr>
                  </w:pPr>
                  <w:r>
                    <w:rPr>
                      <w:rFonts w:hint="eastAsia"/>
                      <w:sz w:val="14"/>
                      <w:szCs w:val="14"/>
                    </w:rPr>
                    <w:t xml:space="preserve">3. </w:t>
                  </w:r>
                  <w:r w:rsidRPr="0042093C">
                    <w:rPr>
                      <w:sz w:val="14"/>
                      <w:szCs w:val="14"/>
                    </w:rPr>
                    <w:t xml:space="preserve">Khanehbad, M., Moussavi-Harami, R., Mahboubi,  a., &amp; Nadjafi, M. (2012). Geochemistry of carboniferous shales of the Sardar Formation, east central Iran: Implication for provenance, paleoclimate and paleo-oxygenation conditions at a passive continental margin. Geochemistry International, 50(9), 777–790. </w:t>
                  </w:r>
                  <w:hyperlink r:id="rId6" w:history="1">
                    <w:r w:rsidRPr="00881EA2">
                      <w:rPr>
                        <w:rStyle w:val="a4"/>
                        <w:sz w:val="14"/>
                        <w:szCs w:val="14"/>
                      </w:rPr>
                      <w:t>http://doi.org/10.1134/S0016702912090029</w:t>
                    </w:r>
                  </w:hyperlink>
                </w:p>
                <w:p w:rsidR="0042093C" w:rsidRDefault="0042093C" w:rsidP="0042093C">
                  <w:pPr>
                    <w:jc w:val="left"/>
                    <w:rPr>
                      <w:sz w:val="14"/>
                      <w:szCs w:val="14"/>
                    </w:rPr>
                  </w:pPr>
                  <w:r>
                    <w:rPr>
                      <w:rFonts w:hint="eastAsia"/>
                      <w:sz w:val="14"/>
                      <w:szCs w:val="14"/>
                    </w:rPr>
                    <w:t xml:space="preserve">4. </w:t>
                  </w:r>
                  <w:r w:rsidRPr="0042093C">
                    <w:rPr>
                      <w:sz w:val="14"/>
                      <w:szCs w:val="14"/>
                    </w:rPr>
                    <w:t xml:space="preserve">Algeo, T. J., &amp; Maynard, J. B. (2004). Trace-element behavior and redox facies in core shales of Upper Pennsylvanian Kansas-type cyclothems. Chemical </w:t>
                  </w:r>
                  <w:r>
                    <w:rPr>
                      <w:sz w:val="14"/>
                      <w:szCs w:val="14"/>
                    </w:rPr>
                    <w:t>Geology, 206(3-4),</w:t>
                  </w:r>
                  <w:r>
                    <w:rPr>
                      <w:rFonts w:hint="eastAsia"/>
                      <w:sz w:val="14"/>
                      <w:szCs w:val="14"/>
                    </w:rPr>
                    <w:t xml:space="preserve"> </w:t>
                  </w:r>
                  <w:r>
                    <w:rPr>
                      <w:sz w:val="14"/>
                      <w:szCs w:val="14"/>
                    </w:rPr>
                    <w:t>289–318.</w:t>
                  </w:r>
                  <w:r>
                    <w:rPr>
                      <w:rFonts w:hint="eastAsia"/>
                      <w:sz w:val="14"/>
                      <w:szCs w:val="14"/>
                    </w:rPr>
                    <w:t xml:space="preserve"> </w:t>
                  </w:r>
                  <w:hyperlink r:id="rId7" w:history="1">
                    <w:r w:rsidRPr="00881EA2">
                      <w:rPr>
                        <w:rStyle w:val="a4"/>
                        <w:sz w:val="14"/>
                        <w:szCs w:val="14"/>
                      </w:rPr>
                      <w:t>http://doi.org/10.1016/j.chemgeo.2003.12.009</w:t>
                    </w:r>
                  </w:hyperlink>
                </w:p>
                <w:p w:rsidR="0042093C" w:rsidRPr="0042093C" w:rsidRDefault="0042093C" w:rsidP="0042093C">
                  <w:pPr>
                    <w:jc w:val="left"/>
                    <w:rPr>
                      <w:sz w:val="14"/>
                      <w:szCs w:val="14"/>
                    </w:rPr>
                  </w:pPr>
                  <w:r>
                    <w:rPr>
                      <w:rFonts w:hint="eastAsia"/>
                      <w:sz w:val="14"/>
                      <w:szCs w:val="14"/>
                    </w:rPr>
                    <w:t xml:space="preserve">5. </w:t>
                  </w:r>
                  <w:r w:rsidR="00692BC5" w:rsidRPr="00692BC5">
                    <w:rPr>
                      <w:sz w:val="14"/>
                      <w:szCs w:val="14"/>
                    </w:rPr>
                    <w:t>Rimmer, S. M. (2004). Geochemical paleoredox indicators in Devonian-Mississippian black shales, Central Appalachian Basin (USA). Chemical Geology, 206(3-4), 373–391. http://doi.org/10.1016/j.chemgeo.2003.12.029</w:t>
                  </w:r>
                </w:p>
              </w:txbxContent>
            </v:textbox>
            <w10:wrap type="square"/>
          </v:shape>
        </w:pict>
      </w:r>
      <w:r w:rsidR="0054057F" w:rsidRPr="00D824DC">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3442970</wp:posOffset>
            </wp:positionH>
            <wp:positionV relativeFrom="paragraph">
              <wp:posOffset>65405</wp:posOffset>
            </wp:positionV>
            <wp:extent cx="2840990" cy="2691765"/>
            <wp:effectExtent l="1905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geological map of Ordos Basin.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0990" cy="2691765"/>
                    </a:xfrm>
                    <a:prstGeom prst="rect">
                      <a:avLst/>
                    </a:prstGeom>
                  </pic:spPr>
                </pic:pic>
              </a:graphicData>
            </a:graphic>
          </wp:anchor>
        </w:drawing>
      </w:r>
      <w:r w:rsidRPr="00D824DC">
        <w:rPr>
          <w:rFonts w:ascii="Times New Roman" w:hAnsi="Times New Roman" w:cs="Times New Roman"/>
          <w:b/>
          <w:noProof/>
          <w:sz w:val="24"/>
          <w:szCs w:val="24"/>
        </w:rPr>
        <w:pict>
          <v:shape id="_x0000_s1028" type="#_x0000_t202" style="position:absolute;left:0;text-align:left;margin-left:270.05pt;margin-top:3.95pt;width:229.5pt;height:217pt;z-index:-251655168;mso-position-horizontal-relative:text;mso-position-vertical-relative:text" fillcolor="white [3201]" strokecolor="black [3200]" strokeweight="1pt">
            <v:stroke dashstyle="dash"/>
            <v:shadow color="#868686"/>
            <v:textbox>
              <w:txbxContent>
                <w:p w:rsidR="009E608D" w:rsidRDefault="009E608D"/>
              </w:txbxContent>
            </v:textbox>
          </v:shape>
        </w:pict>
      </w:r>
      <w:r w:rsidRPr="00D824DC">
        <w:rPr>
          <w:rFonts w:ascii="Times New Roman" w:hAnsi="Times New Roman" w:cs="Times New Roman"/>
          <w:b/>
          <w:noProof/>
          <w:sz w:val="24"/>
          <w:szCs w:val="24"/>
        </w:rPr>
        <w:pict>
          <v:shape id="_x0000_s1027" type="#_x0000_t202" style="position:absolute;left:0;text-align:left;margin-left:270.65pt;margin-top:220.95pt;width:229.5pt;height:96pt;z-index:-251656192;mso-position-horizontal-relative:text;mso-position-vertical-relative:text" fillcolor="white [3201]" strokecolor="black [3200]" strokeweight="1pt">
            <v:stroke dashstyle="dash"/>
            <v:shadow color="#868686"/>
            <v:textbox>
              <w:txbxContent>
                <w:p w:rsidR="009E608D" w:rsidRPr="009E608D" w:rsidRDefault="009E608D">
                  <w:pPr>
                    <w:rPr>
                      <w:rFonts w:ascii="Gungsuh" w:eastAsia="Gungsuh" w:hAnsi="Gungsuh"/>
                      <w:sz w:val="20"/>
                      <w:szCs w:val="20"/>
                    </w:rPr>
                  </w:pPr>
                  <w:r w:rsidRPr="009E608D">
                    <w:rPr>
                      <w:rFonts w:ascii="Gungsuh" w:eastAsia="Gungsuh" w:hAnsi="Gungsuh" w:hint="eastAsia"/>
                      <w:sz w:val="20"/>
                      <w:szCs w:val="20"/>
                    </w:rPr>
                    <w:t>G</w:t>
                  </w:r>
                  <w:r w:rsidRPr="009E608D">
                    <w:rPr>
                      <w:rFonts w:ascii="Gungsuh" w:eastAsia="Gungsuh" w:hAnsi="Gungsuh"/>
                      <w:sz w:val="20"/>
                      <w:szCs w:val="20"/>
                    </w:rPr>
                    <w:t>eological map of Ordos Basin and location of studied section and b stratigraphic column of Upper Triassic Yanchang Formation</w:t>
                  </w:r>
                  <w:r w:rsidRPr="009E608D">
                    <w:rPr>
                      <w:rFonts w:ascii="Gungsuh" w:eastAsia="Gungsuh" w:hAnsi="Gungsuh" w:hint="eastAsia"/>
                      <w:sz w:val="20"/>
                      <w:szCs w:val="20"/>
                    </w:rPr>
                    <w:t xml:space="preserve"> </w:t>
                  </w:r>
                  <w:r w:rsidRPr="009E608D">
                    <w:rPr>
                      <w:rFonts w:ascii="Gungsuh" w:eastAsia="Gungsuh" w:hAnsi="Gungsuh"/>
                      <w:sz w:val="20"/>
                      <w:szCs w:val="20"/>
                    </w:rPr>
                    <w:t>(modified after Qiu et al. 2014)</w:t>
                  </w:r>
                </w:p>
              </w:txbxContent>
            </v:textbox>
            <w10:wrap type="square"/>
          </v:shape>
        </w:pict>
      </w:r>
      <w:r w:rsidR="00D824DC" w:rsidRPr="00D824DC">
        <w:rPr>
          <w:rFonts w:ascii="Times New Roman" w:hAnsi="Times New Roman" w:cs="Times New Roman" w:hint="eastAsia"/>
          <w:b/>
          <w:sz w:val="24"/>
          <w:szCs w:val="24"/>
        </w:rPr>
        <w:t>Abstract</w:t>
      </w:r>
      <w:r w:rsidR="00D824DC">
        <w:rPr>
          <w:rFonts w:ascii="Times New Roman" w:hAnsi="Times New Roman" w:cs="Times New Roman" w:hint="eastAsia"/>
          <w:sz w:val="24"/>
          <w:szCs w:val="24"/>
        </w:rPr>
        <w:t>:</w:t>
      </w:r>
    </w:p>
    <w:p w:rsidR="001B020A" w:rsidRPr="003C0970" w:rsidRDefault="002C3E34" w:rsidP="002B2357">
      <w:pPr>
        <w:spacing w:before="240" w:after="240"/>
        <w:rPr>
          <w:rFonts w:ascii="Times New Roman" w:hAnsi="Times New Roman" w:cs="Times New Roman"/>
          <w:noProof/>
          <w:kern w:val="0"/>
          <w:sz w:val="24"/>
          <w:szCs w:val="24"/>
        </w:rPr>
      </w:pPr>
      <w:r w:rsidRPr="003C0970">
        <w:rPr>
          <w:rFonts w:ascii="Times New Roman" w:hAnsi="Times New Roman" w:cs="Times New Roman"/>
          <w:sz w:val="24"/>
          <w:szCs w:val="24"/>
        </w:rPr>
        <w:t xml:space="preserve">The Triassic Yanchang Formation (Chang 7) oil shale is widely distributed in Ordos Basin, while Tongchuan is one of the typical outcrop areas of distribution. The objective of this study is to determine </w:t>
      </w:r>
      <w:bookmarkStart w:id="0" w:name="OLE_LINK1"/>
      <w:bookmarkStart w:id="1" w:name="OLE_LINK2"/>
      <w:r w:rsidRPr="003C0970">
        <w:rPr>
          <w:rFonts w:ascii="Times New Roman" w:hAnsi="Times New Roman" w:cs="Times New Roman"/>
          <w:sz w:val="24"/>
          <w:szCs w:val="24"/>
        </w:rPr>
        <w:t xml:space="preserve">the depositional environment and some tectonic setting </w:t>
      </w:r>
      <w:bookmarkEnd w:id="0"/>
      <w:bookmarkEnd w:id="1"/>
      <w:r w:rsidRPr="003C0970">
        <w:rPr>
          <w:rFonts w:ascii="Times New Roman" w:hAnsi="Times New Roman" w:cs="Times New Roman"/>
          <w:sz w:val="24"/>
          <w:szCs w:val="24"/>
        </w:rPr>
        <w:t>in which the Oil shale of the study area is deposited. Sixteen selected samples were analyzed by using ICP-MS at the Northwest Institute for Non-ferrous Metal Research for the abundances of some trace elements contents such as V, Ni, Cr, Ba, Sr, U and Th and Rare Earth Elements (REE) contents like La, Yb, Eu and Ce. Paleo-redox indices such as Th/U, V/(V+Ni), V/Cr and δU indicate that the depositional environment of Yanchang Formation is reducing environment. Mo is the diagnostic element for reducing environment under sea water, the enrichment of Mo as compared to other trace elements also supports the reducing environment of study area. Paleosalinity is determined on the basis of Boron (B), Illite, Montmorillonite and kaolinite contents and the results show that the study area belongs to brackish to semi saline water sedimentary environment. The negative values of Ce</w:t>
      </w:r>
      <w:r w:rsidRPr="003C0970">
        <w:rPr>
          <w:rFonts w:ascii="Times New Roman" w:hAnsi="Times New Roman" w:cs="Times New Roman"/>
          <w:sz w:val="24"/>
          <w:szCs w:val="24"/>
          <w:vertAlign w:val="subscript"/>
        </w:rPr>
        <w:t>anomaly</w:t>
      </w:r>
      <w:r w:rsidRPr="003C0970">
        <w:rPr>
          <w:rFonts w:ascii="Times New Roman" w:hAnsi="Times New Roman" w:cs="Times New Roman"/>
          <w:sz w:val="24"/>
          <w:szCs w:val="24"/>
        </w:rPr>
        <w:t xml:space="preserve"> and Eu</w:t>
      </w:r>
      <w:r w:rsidRPr="003C0970">
        <w:rPr>
          <w:rFonts w:ascii="Times New Roman" w:hAnsi="Times New Roman" w:cs="Times New Roman"/>
          <w:sz w:val="24"/>
          <w:szCs w:val="24"/>
          <w:vertAlign w:val="subscript"/>
        </w:rPr>
        <w:t>anomaly</w:t>
      </w:r>
      <w:r w:rsidRPr="003C0970">
        <w:rPr>
          <w:rFonts w:ascii="Times New Roman" w:hAnsi="Times New Roman" w:cs="Times New Roman"/>
          <w:sz w:val="24"/>
          <w:szCs w:val="24"/>
        </w:rPr>
        <w:t xml:space="preserve"> indicate that the study area belongs to hydrothermal sedimentary environment in redox situation. All the values of Th/U are less than 1; it means the deposition of the study area occurred under hot water. La/Yb-REE and La/Yb-Ce/Yb graphs show that mostly samples fall into basalt and other into overlapping areas. So in the expansion period, the basement fracture activities are responsible of hot fluids at the basement of the lake. In the study area sedimentary period of Chang 7, hydrothermal activities in the lake bottom exist and played a key role in accelerating the extensive development of oil shale.</w:t>
      </w:r>
      <w:r w:rsidR="009E608D" w:rsidRPr="003C0970">
        <w:rPr>
          <w:rFonts w:ascii="Times New Roman" w:hAnsi="Times New Roman" w:cs="Times New Roman"/>
          <w:noProof/>
          <w:kern w:val="0"/>
          <w:sz w:val="24"/>
          <w:szCs w:val="24"/>
        </w:rPr>
        <w:t xml:space="preserve"> </w:t>
      </w:r>
    </w:p>
    <w:p w:rsidR="00692BC5" w:rsidRPr="003C0970" w:rsidRDefault="00692BC5" w:rsidP="002B2357">
      <w:pPr>
        <w:spacing w:before="240" w:after="240"/>
        <w:rPr>
          <w:rFonts w:ascii="Times New Roman" w:hAnsi="Times New Roman" w:cs="Times New Roman"/>
          <w:noProof/>
          <w:kern w:val="0"/>
          <w:sz w:val="24"/>
          <w:szCs w:val="24"/>
        </w:rPr>
      </w:pPr>
    </w:p>
    <w:p w:rsidR="005928A1" w:rsidRDefault="005928A1" w:rsidP="005928A1">
      <w:pPr>
        <w:autoSpaceDE w:val="0"/>
        <w:autoSpaceDN w:val="0"/>
        <w:adjustRightInd w:val="0"/>
        <w:rPr>
          <w:sz w:val="24"/>
        </w:rPr>
      </w:pPr>
    </w:p>
    <w:p w:rsidR="00D824DC" w:rsidRPr="00D824DC" w:rsidRDefault="00D824DC" w:rsidP="005928A1">
      <w:pPr>
        <w:autoSpaceDE w:val="0"/>
        <w:autoSpaceDN w:val="0"/>
        <w:adjustRightInd w:val="0"/>
        <w:rPr>
          <w:rFonts w:hint="eastAsia"/>
          <w:b/>
          <w:sz w:val="24"/>
        </w:rPr>
      </w:pPr>
      <w:r w:rsidRPr="00D824DC">
        <w:rPr>
          <w:rFonts w:hint="eastAsia"/>
          <w:b/>
          <w:sz w:val="24"/>
        </w:rPr>
        <w:t>Biography:</w:t>
      </w:r>
    </w:p>
    <w:p w:rsidR="00D824DC" w:rsidRDefault="00D824DC" w:rsidP="005928A1">
      <w:pPr>
        <w:autoSpaceDE w:val="0"/>
        <w:autoSpaceDN w:val="0"/>
        <w:adjustRightInd w:val="0"/>
        <w:rPr>
          <w:rFonts w:hint="eastAsia"/>
          <w:sz w:val="24"/>
        </w:rPr>
      </w:pPr>
    </w:p>
    <w:p w:rsidR="00692BC5" w:rsidRDefault="003C0970" w:rsidP="005928A1">
      <w:pPr>
        <w:autoSpaceDE w:val="0"/>
        <w:autoSpaceDN w:val="0"/>
        <w:adjustRightInd w:val="0"/>
        <w:rPr>
          <w:sz w:val="24"/>
        </w:rPr>
      </w:pPr>
      <w:r>
        <w:rPr>
          <w:rFonts w:hint="eastAsia"/>
          <w:sz w:val="24"/>
        </w:rPr>
        <w:t xml:space="preserve">Different researchers approached differently to determine the depositional environment, provenance and tectonic setting of different areas. </w:t>
      </w:r>
      <w:r>
        <w:rPr>
          <w:sz w:val="24"/>
        </w:rPr>
        <w:t>S</w:t>
      </w:r>
      <w:r>
        <w:rPr>
          <w:rFonts w:hint="eastAsia"/>
          <w:sz w:val="24"/>
        </w:rPr>
        <w:t xml:space="preserve">omeones focused on polynofacies, and someones focused on the organic geochemical contents. </w:t>
      </w:r>
      <w:r w:rsidR="00692BC5" w:rsidRPr="003C0970">
        <w:rPr>
          <w:sz w:val="24"/>
        </w:rPr>
        <w:t>This article</w:t>
      </w:r>
      <w:r w:rsidR="00692BC5" w:rsidRPr="003C0970">
        <w:rPr>
          <w:rFonts w:hint="eastAsia"/>
          <w:sz w:val="24"/>
        </w:rPr>
        <w:t>,</w:t>
      </w:r>
      <w:r w:rsidR="00692BC5" w:rsidRPr="003C0970">
        <w:rPr>
          <w:sz w:val="24"/>
        </w:rPr>
        <w:t xml:space="preserve"> through </w:t>
      </w:r>
      <w:r w:rsidR="00692BC5" w:rsidRPr="003C0970">
        <w:rPr>
          <w:rFonts w:hint="eastAsia"/>
          <w:sz w:val="24"/>
        </w:rPr>
        <w:t xml:space="preserve">the </w:t>
      </w:r>
      <w:r w:rsidR="00692BC5" w:rsidRPr="003C0970">
        <w:rPr>
          <w:sz w:val="24"/>
        </w:rPr>
        <w:t xml:space="preserve">geochemical </w:t>
      </w:r>
      <w:r w:rsidR="00692BC5" w:rsidRPr="003C0970">
        <w:rPr>
          <w:rFonts w:hint="eastAsia"/>
          <w:sz w:val="24"/>
        </w:rPr>
        <w:t>analysis of</w:t>
      </w:r>
      <w:r w:rsidR="00692BC5" w:rsidRPr="003C0970">
        <w:rPr>
          <w:sz w:val="24"/>
        </w:rPr>
        <w:t xml:space="preserve"> trace </w:t>
      </w:r>
      <w:r w:rsidR="00692BC5" w:rsidRPr="003C0970">
        <w:rPr>
          <w:rFonts w:hint="eastAsia"/>
          <w:sz w:val="24"/>
        </w:rPr>
        <w:t xml:space="preserve">and Rare Earth </w:t>
      </w:r>
      <w:r w:rsidR="00692BC5" w:rsidRPr="003C0970">
        <w:rPr>
          <w:sz w:val="24"/>
        </w:rPr>
        <w:t>element</w:t>
      </w:r>
      <w:r w:rsidR="00692BC5" w:rsidRPr="003C0970">
        <w:rPr>
          <w:rFonts w:hint="eastAsia"/>
          <w:sz w:val="24"/>
        </w:rPr>
        <w:t>s</w:t>
      </w:r>
      <w:r w:rsidR="00692BC5" w:rsidRPr="003C0970">
        <w:rPr>
          <w:sz w:val="24"/>
        </w:rPr>
        <w:t xml:space="preserve"> of </w:t>
      </w:r>
      <w:r w:rsidR="00692BC5" w:rsidRPr="003C0970">
        <w:rPr>
          <w:rFonts w:hint="eastAsia"/>
          <w:sz w:val="24"/>
        </w:rPr>
        <w:t xml:space="preserve">Chang </w:t>
      </w:r>
      <w:r w:rsidR="00692BC5" w:rsidRPr="003C0970">
        <w:rPr>
          <w:sz w:val="24"/>
        </w:rPr>
        <w:t>7 oil shale, approach</w:t>
      </w:r>
      <w:r w:rsidR="00692BC5" w:rsidRPr="003C0970">
        <w:rPr>
          <w:rFonts w:hint="eastAsia"/>
          <w:sz w:val="24"/>
        </w:rPr>
        <w:t>es the</w:t>
      </w:r>
      <w:r w:rsidR="00692BC5" w:rsidRPr="003C0970">
        <w:rPr>
          <w:sz w:val="24"/>
        </w:rPr>
        <w:t xml:space="preserve"> </w:t>
      </w:r>
      <w:r w:rsidR="00692BC5" w:rsidRPr="003C0970">
        <w:rPr>
          <w:rFonts w:hint="eastAsia"/>
          <w:sz w:val="24"/>
        </w:rPr>
        <w:t xml:space="preserve">depositional </w:t>
      </w:r>
      <w:r w:rsidR="00692BC5" w:rsidRPr="003C0970">
        <w:rPr>
          <w:sz w:val="24"/>
        </w:rPr>
        <w:t>environment</w:t>
      </w:r>
      <w:r w:rsidR="00692BC5" w:rsidRPr="003C0970">
        <w:rPr>
          <w:rFonts w:hint="eastAsia"/>
          <w:sz w:val="24"/>
        </w:rPr>
        <w:t xml:space="preserve"> and</w:t>
      </w:r>
      <w:r w:rsidR="00692BC5" w:rsidRPr="003C0970">
        <w:rPr>
          <w:sz w:val="24"/>
        </w:rPr>
        <w:t xml:space="preserve"> provides a theoretical basis for their cause of formation</w:t>
      </w:r>
      <w:r w:rsidR="00692BC5" w:rsidRPr="003C0970">
        <w:rPr>
          <w:rFonts w:hint="eastAsia"/>
          <w:sz w:val="24"/>
        </w:rPr>
        <w:t xml:space="preserve"> and some tectonic settings</w:t>
      </w:r>
      <w:r w:rsidR="00692BC5" w:rsidRPr="003C0970">
        <w:rPr>
          <w:sz w:val="24"/>
        </w:rPr>
        <w:t>.</w:t>
      </w:r>
    </w:p>
    <w:p w:rsidR="005928A1" w:rsidRDefault="005928A1" w:rsidP="00692BC5">
      <w:pPr>
        <w:autoSpaceDE w:val="0"/>
        <w:autoSpaceDN w:val="0"/>
        <w:adjustRightInd w:val="0"/>
        <w:ind w:firstLineChars="100" w:firstLine="240"/>
        <w:rPr>
          <w:sz w:val="24"/>
        </w:rPr>
      </w:pPr>
    </w:p>
    <w:p w:rsidR="005928A1" w:rsidRDefault="005928A1" w:rsidP="00692BC5">
      <w:pPr>
        <w:autoSpaceDE w:val="0"/>
        <w:autoSpaceDN w:val="0"/>
        <w:adjustRightInd w:val="0"/>
        <w:ind w:firstLineChars="100" w:firstLine="240"/>
        <w:rPr>
          <w:sz w:val="24"/>
        </w:rPr>
      </w:pPr>
    </w:p>
    <w:p w:rsidR="00D844DC" w:rsidRDefault="0029140B" w:rsidP="00D824DC">
      <w:pPr>
        <w:ind w:firstLineChars="1550" w:firstLine="3255"/>
        <w:rPr>
          <w:sz w:val="24"/>
        </w:rPr>
      </w:pPr>
      <w:hyperlink r:id="rId9" w:history="1">
        <w:r w:rsidR="005928A1" w:rsidRPr="00881EA2">
          <w:rPr>
            <w:rStyle w:val="a4"/>
            <w:sz w:val="24"/>
          </w:rPr>
          <w:t>ab.wahid786@yahoo.com</w:t>
        </w:r>
      </w:hyperlink>
    </w:p>
    <w:p w:rsidR="005928A1" w:rsidRDefault="005928A1" w:rsidP="005928A1">
      <w:pPr>
        <w:ind w:firstLineChars="1550" w:firstLine="3720"/>
        <w:rPr>
          <w:sz w:val="24"/>
        </w:rPr>
      </w:pPr>
    </w:p>
    <w:p w:rsidR="005928A1" w:rsidRPr="003C0970" w:rsidRDefault="0029140B" w:rsidP="005928A1">
      <w:pPr>
        <w:ind w:firstLineChars="1550" w:firstLine="3255"/>
      </w:pPr>
      <w:r>
        <w:rPr>
          <w:noProof/>
        </w:rPr>
        <w:pict>
          <v:shapetype id="_x0000_t32" coordsize="21600,21600" o:spt="32" o:oned="t" path="m,l21600,21600e" filled="f">
            <v:path arrowok="t" fillok="f" o:connecttype="none"/>
            <o:lock v:ext="edit" shapetype="t"/>
          </v:shapetype>
          <v:shape id="_x0000_s1030" type="#_x0000_t32" style="position:absolute;left:0;text-align:left;margin-left:97.4pt;margin-top:8.2pt;width:299.55pt;height:0;z-index:251663360" o:connectortype="straight"/>
        </w:pict>
      </w:r>
    </w:p>
    <w:sectPr w:rsidR="005928A1" w:rsidRPr="003C0970" w:rsidSect="002C3E34">
      <w:pgSz w:w="11906" w:h="16838"/>
      <w:pgMar w:top="851" w:right="849" w:bottom="851" w:left="851"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C3E34"/>
    <w:rsid w:val="001B020A"/>
    <w:rsid w:val="0029140B"/>
    <w:rsid w:val="002B2357"/>
    <w:rsid w:val="002C3E34"/>
    <w:rsid w:val="003C0970"/>
    <w:rsid w:val="0042093C"/>
    <w:rsid w:val="00534A28"/>
    <w:rsid w:val="0054057F"/>
    <w:rsid w:val="005928A1"/>
    <w:rsid w:val="00692BC5"/>
    <w:rsid w:val="009E608D"/>
    <w:rsid w:val="00A32298"/>
    <w:rsid w:val="00D824DC"/>
    <w:rsid w:val="00D844DC"/>
    <w:rsid w:val="00FE0F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E608D"/>
    <w:rPr>
      <w:sz w:val="18"/>
      <w:szCs w:val="18"/>
    </w:rPr>
  </w:style>
  <w:style w:type="character" w:customStyle="1" w:styleId="Char">
    <w:name w:val="批注框文本 Char"/>
    <w:basedOn w:val="a0"/>
    <w:link w:val="a3"/>
    <w:uiPriority w:val="99"/>
    <w:semiHidden/>
    <w:rsid w:val="009E608D"/>
    <w:rPr>
      <w:sz w:val="18"/>
      <w:szCs w:val="18"/>
    </w:rPr>
  </w:style>
  <w:style w:type="character" w:styleId="a4">
    <w:name w:val="Hyperlink"/>
    <w:basedOn w:val="a0"/>
    <w:uiPriority w:val="99"/>
    <w:unhideWhenUsed/>
    <w:rsid w:val="004209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doi.org/10.1016/j.chemgeo.2003.12.00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doi.org/10.1134/S0016702912090029" TargetMode="External"/><Relationship Id="rId11" Type="http://schemas.openxmlformats.org/officeDocument/2006/relationships/theme" Target="theme/theme1.xml"/><Relationship Id="rId5" Type="http://schemas.openxmlformats.org/officeDocument/2006/relationships/hyperlink" Target="http://doi.org/10.1016/S0024-4937(99)00063-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b.wahid786@yahoo.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75244D-C36A-45DB-957E-543F73118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404</Words>
  <Characters>2306</Characters>
  <Application>Microsoft Office Word</Application>
  <DocSecurity>0</DocSecurity>
  <Lines>19</Lines>
  <Paragraphs>5</Paragraphs>
  <ScaleCrop>false</ScaleCrop>
  <Company>CHINA</Company>
  <LinksUpToDate>false</LinksUpToDate>
  <CharactersWithSpaces>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dreamsummit</dc:creator>
  <cp:lastModifiedBy>dreamsummit</cp:lastModifiedBy>
  <cp:revision>2</cp:revision>
  <dcterms:created xsi:type="dcterms:W3CDTF">2017-01-30T07:48:00Z</dcterms:created>
  <dcterms:modified xsi:type="dcterms:W3CDTF">2017-01-30T10:34:00Z</dcterms:modified>
</cp:coreProperties>
</file>