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27B12" w:rsidRDefault="00E27B12" w:rsidP="00494130">
      <w:pPr>
        <w:pStyle w:val="Heading1"/>
        <w:spacing w:before="170"/>
        <w:ind w:left="0"/>
        <w:rPr>
          <w:color w:val="337AB7"/>
        </w:rPr>
      </w:pPr>
      <w:bookmarkStart w:id="0" w:name="_GoBack"/>
      <w:bookmarkEnd w:id="0"/>
      <w:r w:rsidRPr="00E27B12">
        <w:rPr>
          <w:color w:val="337AB7"/>
        </w:rPr>
        <w:t xml:space="preserve">Solid Expandable Tubulars; </w:t>
      </w:r>
      <w:r>
        <w:rPr>
          <w:color w:val="337AB7"/>
        </w:rPr>
        <w:t>Full-Scale Testing and Analysis</w:t>
      </w:r>
    </w:p>
    <w:p w:rsidR="00E27B12" w:rsidRDefault="00E27B12" w:rsidP="00E27B12">
      <w:pPr>
        <w:pStyle w:val="BodyText"/>
        <w:spacing w:before="73" w:line="198" w:lineRule="exact"/>
        <w:ind w:left="100" w:right="5987"/>
        <w:rPr>
          <w:rFonts w:ascii="Arial"/>
        </w:rPr>
      </w:pPr>
      <w:r>
        <w:rPr>
          <w:rFonts w:ascii="Arial"/>
        </w:rPr>
        <w:t>Sayyad Zahid Qamar, Sultan Qaboos University, Oman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7248FD" w:rsidRPr="00FC14C2" w:rsidRDefault="007248FD" w:rsidP="000B79F3">
      <w:pPr>
        <w:pStyle w:val="BodyText"/>
        <w:spacing w:before="90" w:line="280" w:lineRule="auto"/>
        <w:ind w:left="100"/>
        <w:jc w:val="both"/>
        <w:rPr>
          <w:iCs/>
        </w:rPr>
      </w:pPr>
      <w:r>
        <w:rPr>
          <w:iCs/>
        </w:rPr>
        <w:t xml:space="preserve">Economically feasible extraction of oil and gas is becoming more and more challenging, especially from old and difficult reservoirs. </w:t>
      </w:r>
      <w:r w:rsidRPr="00D43ADB">
        <w:rPr>
          <w:iCs/>
        </w:rPr>
        <w:t xml:space="preserve">Some </w:t>
      </w:r>
      <w:r>
        <w:rPr>
          <w:iCs/>
        </w:rPr>
        <w:t xml:space="preserve">major hurdles are reducing cost </w:t>
      </w:r>
      <w:r w:rsidRPr="00D43ADB">
        <w:rPr>
          <w:iCs/>
        </w:rPr>
        <w:t xml:space="preserve">and </w:t>
      </w:r>
      <w:r>
        <w:rPr>
          <w:iCs/>
        </w:rPr>
        <w:t>increasing e</w:t>
      </w:r>
      <w:r w:rsidRPr="00D43ADB">
        <w:rPr>
          <w:iCs/>
        </w:rPr>
        <w:t>fficien</w:t>
      </w:r>
      <w:r>
        <w:rPr>
          <w:iCs/>
        </w:rPr>
        <w:t>cy of</w:t>
      </w:r>
      <w:r w:rsidRPr="00D43ADB">
        <w:rPr>
          <w:iCs/>
        </w:rPr>
        <w:t xml:space="preserve"> well completion</w:t>
      </w:r>
      <w:r>
        <w:rPr>
          <w:iCs/>
        </w:rPr>
        <w:t xml:space="preserve"> operations; isolation of </w:t>
      </w:r>
      <w:r w:rsidRPr="00D43ADB">
        <w:rPr>
          <w:iCs/>
        </w:rPr>
        <w:t>water-</w:t>
      </w:r>
      <w:r>
        <w:rPr>
          <w:iCs/>
        </w:rPr>
        <w:t xml:space="preserve">producing </w:t>
      </w:r>
      <w:r w:rsidRPr="00D43ADB">
        <w:rPr>
          <w:iCs/>
        </w:rPr>
        <w:t xml:space="preserve">and other </w:t>
      </w:r>
      <w:r>
        <w:rPr>
          <w:iCs/>
        </w:rPr>
        <w:t xml:space="preserve">undesirable </w:t>
      </w:r>
      <w:r w:rsidRPr="00D43ADB">
        <w:rPr>
          <w:iCs/>
        </w:rPr>
        <w:t>zon</w:t>
      </w:r>
      <w:r>
        <w:rPr>
          <w:iCs/>
        </w:rPr>
        <w:t>es;</w:t>
      </w:r>
      <w:r w:rsidRPr="00D43ADB">
        <w:rPr>
          <w:iCs/>
        </w:rPr>
        <w:t xml:space="preserve"> </w:t>
      </w:r>
      <w:r>
        <w:rPr>
          <w:iCs/>
        </w:rPr>
        <w:t xml:space="preserve">successful </w:t>
      </w:r>
      <w:r w:rsidRPr="00D43ADB">
        <w:rPr>
          <w:iCs/>
        </w:rPr>
        <w:t xml:space="preserve">production from mature </w:t>
      </w:r>
      <w:r>
        <w:rPr>
          <w:iCs/>
        </w:rPr>
        <w:t xml:space="preserve">reservoirs; reworking of </w:t>
      </w:r>
      <w:r w:rsidRPr="00D43ADB">
        <w:rPr>
          <w:iCs/>
        </w:rPr>
        <w:t xml:space="preserve">abandoned </w:t>
      </w:r>
      <w:r>
        <w:rPr>
          <w:iCs/>
        </w:rPr>
        <w:t xml:space="preserve">wells; </w:t>
      </w:r>
      <w:r w:rsidRPr="00D43ADB">
        <w:rPr>
          <w:iCs/>
        </w:rPr>
        <w:t xml:space="preserve">etc. </w:t>
      </w:r>
      <w:r>
        <w:rPr>
          <w:iCs/>
        </w:rPr>
        <w:t xml:space="preserve">In the last couple of decades, </w:t>
      </w:r>
      <w:r w:rsidRPr="00D43ADB">
        <w:rPr>
          <w:iCs/>
        </w:rPr>
        <w:t xml:space="preserve">solid expandable tubular (SET) </w:t>
      </w:r>
      <w:r>
        <w:rPr>
          <w:iCs/>
        </w:rPr>
        <w:t>technology has been able to overcome some of</w:t>
      </w:r>
      <w:r w:rsidRPr="00D43ADB">
        <w:rPr>
          <w:iCs/>
        </w:rPr>
        <w:t xml:space="preserve"> these </w:t>
      </w:r>
      <w:r>
        <w:rPr>
          <w:iCs/>
        </w:rPr>
        <w:t xml:space="preserve">obstacles. </w:t>
      </w:r>
      <w:r w:rsidRPr="00D43ADB">
        <w:rPr>
          <w:iCs/>
        </w:rPr>
        <w:t xml:space="preserve">SET applications </w:t>
      </w:r>
      <w:r>
        <w:rPr>
          <w:iCs/>
        </w:rPr>
        <w:t>involve in-situ</w:t>
      </w:r>
      <w:r w:rsidRPr="00D43ADB">
        <w:rPr>
          <w:iCs/>
        </w:rPr>
        <w:t xml:space="preserve"> expansion of </w:t>
      </w:r>
      <w:r>
        <w:rPr>
          <w:iCs/>
        </w:rPr>
        <w:t xml:space="preserve">a </w:t>
      </w:r>
      <w:r w:rsidRPr="00D43ADB">
        <w:rPr>
          <w:iCs/>
        </w:rPr>
        <w:t xml:space="preserve">tubular </w:t>
      </w:r>
      <w:r>
        <w:rPr>
          <w:iCs/>
        </w:rPr>
        <w:t xml:space="preserve">by propagating a conical mandrel through it, achieved by </w:t>
      </w:r>
      <w:r w:rsidRPr="00D43ADB">
        <w:rPr>
          <w:iCs/>
        </w:rPr>
        <w:t>hydraulic push</w:t>
      </w:r>
      <w:r>
        <w:rPr>
          <w:iCs/>
        </w:rPr>
        <w:t xml:space="preserve"> or </w:t>
      </w:r>
      <w:r w:rsidRPr="00D43ADB">
        <w:rPr>
          <w:iCs/>
        </w:rPr>
        <w:t xml:space="preserve">mechanical pull. </w:t>
      </w:r>
      <w:r>
        <w:rPr>
          <w:iCs/>
        </w:rPr>
        <w:t>I</w:t>
      </w:r>
      <w:r w:rsidRPr="00D43ADB">
        <w:rPr>
          <w:iCs/>
        </w:rPr>
        <w:t xml:space="preserve">ntegrity </w:t>
      </w:r>
      <w:r>
        <w:rPr>
          <w:iCs/>
        </w:rPr>
        <w:t xml:space="preserve">of well structure is directly dependent on factors such as burst and collapse strength of the tubular </w:t>
      </w:r>
      <w:r w:rsidRPr="00D43ADB">
        <w:rPr>
          <w:iCs/>
        </w:rPr>
        <w:t xml:space="preserve">after expansion. </w:t>
      </w:r>
      <w:r>
        <w:rPr>
          <w:iCs/>
        </w:rPr>
        <w:t xml:space="preserve">In collaboration with the national petroleum development industry, a full-scale </w:t>
      </w:r>
      <w:r w:rsidRPr="00D43ADB">
        <w:rPr>
          <w:iCs/>
        </w:rPr>
        <w:t>expansion test rig has been designed, fabricated, and commissioned at Sultan Qaboos University</w:t>
      </w:r>
      <w:r>
        <w:rPr>
          <w:iCs/>
        </w:rPr>
        <w:t>.</w:t>
      </w:r>
      <w:r w:rsidRPr="00D43ADB">
        <w:rPr>
          <w:iCs/>
        </w:rPr>
        <w:t xml:space="preserve"> </w:t>
      </w:r>
      <w:r>
        <w:rPr>
          <w:iCs/>
        </w:rPr>
        <w:t xml:space="preserve">Real-time experimental data are recorded during expansion of actual petroleum tubulars under various field conditions. Mechanical </w:t>
      </w:r>
      <w:r w:rsidRPr="00D43ADB">
        <w:rPr>
          <w:iCs/>
        </w:rPr>
        <w:t xml:space="preserve">testing and </w:t>
      </w:r>
      <w:r>
        <w:rPr>
          <w:iCs/>
        </w:rPr>
        <w:t xml:space="preserve">microscopic analysis is also carried out for pre and post-expansion material </w:t>
      </w:r>
      <w:r w:rsidRPr="00D43ADB">
        <w:rPr>
          <w:iCs/>
        </w:rPr>
        <w:t xml:space="preserve">characterization. </w:t>
      </w:r>
      <w:r>
        <w:rPr>
          <w:iCs/>
        </w:rPr>
        <w:t xml:space="preserve">Some of the studies carried out with the help of this facility are Design, fabrication, and commissioning of SET test rig; </w:t>
      </w:r>
      <w:r w:rsidRPr="00FC14C2">
        <w:rPr>
          <w:iCs/>
        </w:rPr>
        <w:t xml:space="preserve">Experimental and </w:t>
      </w:r>
      <w:r>
        <w:rPr>
          <w:iCs/>
        </w:rPr>
        <w:t>n</w:t>
      </w:r>
      <w:r w:rsidRPr="00FC14C2">
        <w:rPr>
          <w:iCs/>
        </w:rPr>
        <w:t xml:space="preserve">umerical </w:t>
      </w:r>
      <w:r>
        <w:rPr>
          <w:iCs/>
        </w:rPr>
        <w:t>si</w:t>
      </w:r>
      <w:r w:rsidRPr="00FC14C2">
        <w:rPr>
          <w:iCs/>
        </w:rPr>
        <w:t xml:space="preserve">mulation of </w:t>
      </w:r>
      <w:r>
        <w:rPr>
          <w:iCs/>
        </w:rPr>
        <w:t>in-s</w:t>
      </w:r>
      <w:r w:rsidRPr="00FC14C2">
        <w:rPr>
          <w:iCs/>
        </w:rPr>
        <w:t xml:space="preserve">itu </w:t>
      </w:r>
      <w:r>
        <w:rPr>
          <w:iCs/>
        </w:rPr>
        <w:t>t</w:t>
      </w:r>
      <w:r w:rsidRPr="00FC14C2">
        <w:rPr>
          <w:iCs/>
        </w:rPr>
        <w:t xml:space="preserve">ube </w:t>
      </w:r>
      <w:r>
        <w:rPr>
          <w:iCs/>
        </w:rPr>
        <w:t>e</w:t>
      </w:r>
      <w:r w:rsidRPr="00FC14C2">
        <w:rPr>
          <w:iCs/>
        </w:rPr>
        <w:t>xpansion</w:t>
      </w:r>
      <w:r>
        <w:rPr>
          <w:iCs/>
        </w:rPr>
        <w:t xml:space="preserve">; </w:t>
      </w:r>
      <w:r w:rsidRPr="00FC14C2">
        <w:rPr>
          <w:iCs/>
        </w:rPr>
        <w:t xml:space="preserve">Effect of </w:t>
      </w:r>
      <w:r>
        <w:rPr>
          <w:iCs/>
        </w:rPr>
        <w:t>cold w</w:t>
      </w:r>
      <w:r w:rsidRPr="00FC14C2">
        <w:rPr>
          <w:iCs/>
        </w:rPr>
        <w:t xml:space="preserve">ork on </w:t>
      </w:r>
      <w:r>
        <w:rPr>
          <w:iCs/>
        </w:rPr>
        <w:t>m</w:t>
      </w:r>
      <w:r w:rsidRPr="00FC14C2">
        <w:rPr>
          <w:iCs/>
        </w:rPr>
        <w:t xml:space="preserve">echanical </w:t>
      </w:r>
      <w:r>
        <w:rPr>
          <w:iCs/>
        </w:rPr>
        <w:t>p</w:t>
      </w:r>
      <w:r w:rsidRPr="00FC14C2">
        <w:rPr>
          <w:iCs/>
        </w:rPr>
        <w:t xml:space="preserve">roperties of </w:t>
      </w:r>
      <w:r>
        <w:rPr>
          <w:iCs/>
        </w:rPr>
        <w:t>e</w:t>
      </w:r>
      <w:r w:rsidRPr="00FC14C2">
        <w:rPr>
          <w:iCs/>
        </w:rPr>
        <w:t xml:space="preserve">xpandable </w:t>
      </w:r>
      <w:r>
        <w:rPr>
          <w:iCs/>
        </w:rPr>
        <w:t>t</w:t>
      </w:r>
      <w:r w:rsidRPr="00FC14C2">
        <w:rPr>
          <w:iCs/>
        </w:rPr>
        <w:t>ubulars</w:t>
      </w:r>
      <w:r>
        <w:rPr>
          <w:iCs/>
        </w:rPr>
        <w:t xml:space="preserve">; </w:t>
      </w:r>
      <w:r w:rsidRPr="00FC14C2">
        <w:rPr>
          <w:iCs/>
        </w:rPr>
        <w:t xml:space="preserve">Optimum </w:t>
      </w:r>
      <w:r>
        <w:rPr>
          <w:iCs/>
        </w:rPr>
        <w:t>m</w:t>
      </w:r>
      <w:r w:rsidRPr="00FC14C2">
        <w:rPr>
          <w:iCs/>
        </w:rPr>
        <w:t xml:space="preserve">andrel </w:t>
      </w:r>
      <w:r>
        <w:rPr>
          <w:iCs/>
        </w:rPr>
        <w:t>c</w:t>
      </w:r>
      <w:r w:rsidRPr="00FC14C2">
        <w:rPr>
          <w:iCs/>
        </w:rPr>
        <w:t xml:space="preserve">onfiguration for </w:t>
      </w:r>
      <w:r>
        <w:rPr>
          <w:iCs/>
        </w:rPr>
        <w:t>e</w:t>
      </w:r>
      <w:r w:rsidRPr="00FC14C2">
        <w:rPr>
          <w:iCs/>
        </w:rPr>
        <w:t xml:space="preserve">fficient </w:t>
      </w:r>
      <w:r>
        <w:rPr>
          <w:iCs/>
        </w:rPr>
        <w:t>d</w:t>
      </w:r>
      <w:r w:rsidRPr="00FC14C2">
        <w:rPr>
          <w:iCs/>
        </w:rPr>
        <w:t>own-</w:t>
      </w:r>
      <w:r>
        <w:rPr>
          <w:iCs/>
        </w:rPr>
        <w:t>h</w:t>
      </w:r>
      <w:r w:rsidRPr="00FC14C2">
        <w:rPr>
          <w:iCs/>
        </w:rPr>
        <w:t xml:space="preserve">ole </w:t>
      </w:r>
      <w:r>
        <w:rPr>
          <w:iCs/>
        </w:rPr>
        <w:t>t</w:t>
      </w:r>
      <w:r w:rsidRPr="00FC14C2">
        <w:rPr>
          <w:iCs/>
        </w:rPr>
        <w:t xml:space="preserve">ube </w:t>
      </w:r>
      <w:r>
        <w:rPr>
          <w:iCs/>
        </w:rPr>
        <w:t>e</w:t>
      </w:r>
      <w:r w:rsidRPr="00FC14C2">
        <w:rPr>
          <w:iCs/>
        </w:rPr>
        <w:t>xpansion</w:t>
      </w:r>
      <w:r>
        <w:rPr>
          <w:iCs/>
        </w:rPr>
        <w:t xml:space="preserve">; Estimation of burst and collapse strengths </w:t>
      </w:r>
      <w:r w:rsidR="000B79F3">
        <w:rPr>
          <w:iCs/>
        </w:rPr>
        <w:t xml:space="preserve">of </w:t>
      </w:r>
      <w:r>
        <w:rPr>
          <w:iCs/>
        </w:rPr>
        <w:t xml:space="preserve">expandable tubulars; Experimental and finite-element comparison of advanced high-strength steels as tubular materials; </w:t>
      </w:r>
      <w:r w:rsidRPr="00FC14C2">
        <w:rPr>
          <w:iCs/>
        </w:rPr>
        <w:t xml:space="preserve">Analytical </w:t>
      </w:r>
      <w:r>
        <w:rPr>
          <w:iCs/>
        </w:rPr>
        <w:t>m</w:t>
      </w:r>
      <w:r w:rsidRPr="00FC14C2">
        <w:rPr>
          <w:iCs/>
        </w:rPr>
        <w:t xml:space="preserve">odel for </w:t>
      </w:r>
      <w:r>
        <w:rPr>
          <w:iCs/>
        </w:rPr>
        <w:t>s</w:t>
      </w:r>
      <w:r w:rsidRPr="00FC14C2">
        <w:rPr>
          <w:iCs/>
        </w:rPr>
        <w:t>tick-</w:t>
      </w:r>
      <w:r>
        <w:rPr>
          <w:iCs/>
        </w:rPr>
        <w:t>s</w:t>
      </w:r>
      <w:r w:rsidRPr="00FC14C2">
        <w:rPr>
          <w:iCs/>
        </w:rPr>
        <w:t xml:space="preserve">lip </w:t>
      </w:r>
      <w:r>
        <w:rPr>
          <w:iCs/>
        </w:rPr>
        <w:t>p</w:t>
      </w:r>
      <w:r w:rsidRPr="00FC14C2">
        <w:rPr>
          <w:iCs/>
        </w:rPr>
        <w:t>henom</w:t>
      </w:r>
      <w:r>
        <w:rPr>
          <w:iCs/>
        </w:rPr>
        <w:t>enon in solid tubular expansion;</w:t>
      </w:r>
      <w:r w:rsidRPr="00645389">
        <w:rPr>
          <w:iCs/>
        </w:rPr>
        <w:t xml:space="preserve"> </w:t>
      </w:r>
      <w:r w:rsidRPr="00FC14C2">
        <w:rPr>
          <w:iCs/>
        </w:rPr>
        <w:t>Use of S</w:t>
      </w:r>
      <w:r>
        <w:rPr>
          <w:iCs/>
        </w:rPr>
        <w:t xml:space="preserve">olid expandable tubulars </w:t>
      </w:r>
      <w:r w:rsidRPr="00FC14C2">
        <w:rPr>
          <w:iCs/>
        </w:rPr>
        <w:t xml:space="preserve">in </w:t>
      </w:r>
      <w:r>
        <w:rPr>
          <w:iCs/>
        </w:rPr>
        <w:t>c</w:t>
      </w:r>
      <w:r w:rsidRPr="00FC14C2">
        <w:rPr>
          <w:iCs/>
        </w:rPr>
        <w:t xml:space="preserve">ased and </w:t>
      </w:r>
      <w:r>
        <w:rPr>
          <w:iCs/>
        </w:rPr>
        <w:t>o</w:t>
      </w:r>
      <w:r w:rsidRPr="00FC14C2">
        <w:rPr>
          <w:iCs/>
        </w:rPr>
        <w:t xml:space="preserve">pen </w:t>
      </w:r>
      <w:r>
        <w:rPr>
          <w:iCs/>
        </w:rPr>
        <w:t>h</w:t>
      </w:r>
      <w:r w:rsidRPr="00FC14C2">
        <w:rPr>
          <w:iCs/>
        </w:rPr>
        <w:t>oles</w:t>
      </w:r>
      <w:r>
        <w:rPr>
          <w:iCs/>
        </w:rPr>
        <w:t xml:space="preserve"> —</w:t>
      </w:r>
      <w:r w:rsidRPr="00FC14C2">
        <w:rPr>
          <w:iCs/>
        </w:rPr>
        <w:t xml:space="preserve"> </w:t>
      </w:r>
      <w:r>
        <w:rPr>
          <w:iCs/>
        </w:rPr>
        <w:t>c</w:t>
      </w:r>
      <w:r w:rsidRPr="00FC14C2">
        <w:rPr>
          <w:iCs/>
        </w:rPr>
        <w:t xml:space="preserve">omparison between </w:t>
      </w:r>
      <w:r>
        <w:rPr>
          <w:iCs/>
        </w:rPr>
        <w:t>a</w:t>
      </w:r>
      <w:r w:rsidRPr="00FC14C2">
        <w:rPr>
          <w:iCs/>
        </w:rPr>
        <w:t xml:space="preserve">luminum and </w:t>
      </w:r>
      <w:r>
        <w:rPr>
          <w:iCs/>
        </w:rPr>
        <w:t>s</w:t>
      </w:r>
      <w:r w:rsidRPr="00FC14C2">
        <w:rPr>
          <w:iCs/>
        </w:rPr>
        <w:t>teel</w:t>
      </w:r>
      <w:r>
        <w:rPr>
          <w:iCs/>
        </w:rPr>
        <w:t xml:space="preserve">; </w:t>
      </w:r>
      <w:r w:rsidRPr="00645389">
        <w:rPr>
          <w:iCs/>
        </w:rPr>
        <w:t xml:space="preserve">Solid </w:t>
      </w:r>
      <w:r>
        <w:rPr>
          <w:iCs/>
        </w:rPr>
        <w:t>t</w:t>
      </w:r>
      <w:r w:rsidRPr="00645389">
        <w:rPr>
          <w:iCs/>
        </w:rPr>
        <w:t xml:space="preserve">ubular </w:t>
      </w:r>
      <w:r>
        <w:rPr>
          <w:iCs/>
        </w:rPr>
        <w:t>e</w:t>
      </w:r>
      <w:r w:rsidRPr="00645389">
        <w:rPr>
          <w:iCs/>
        </w:rPr>
        <w:t xml:space="preserve">xpansion in </w:t>
      </w:r>
      <w:r>
        <w:rPr>
          <w:iCs/>
        </w:rPr>
        <w:t>h</w:t>
      </w:r>
      <w:r w:rsidRPr="00645389">
        <w:rPr>
          <w:iCs/>
        </w:rPr>
        <w:t xml:space="preserve">orizontal </w:t>
      </w:r>
      <w:r>
        <w:rPr>
          <w:iCs/>
        </w:rPr>
        <w:t>w</w:t>
      </w:r>
      <w:r w:rsidRPr="00645389">
        <w:rPr>
          <w:iCs/>
        </w:rPr>
        <w:t>ells</w:t>
      </w:r>
      <w:r>
        <w:rPr>
          <w:iCs/>
        </w:rPr>
        <w:t>; etc.</w:t>
      </w:r>
    </w:p>
    <w:p w:rsidR="004171F4" w:rsidRPr="00AA6C23" w:rsidRDefault="004171F4" w:rsidP="001C7287">
      <w:pPr>
        <w:pStyle w:val="BodyText"/>
        <w:spacing w:before="90" w:line="280" w:lineRule="auto"/>
        <w:ind w:left="100"/>
        <w:jc w:val="both"/>
        <w:rPr>
          <w:iCs/>
        </w:rPr>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D443FB" w:rsidRDefault="00D443FB" w:rsidP="005973B9">
      <w:pPr>
        <w:spacing w:line="204" w:lineRule="exact"/>
        <w:rPr>
          <w:rFonts w:ascii="Arial"/>
          <w:b/>
          <w:color w:val="BF5A14"/>
          <w:sz w:val="20"/>
        </w:rPr>
      </w:pPr>
      <w:r w:rsidRPr="00D443FB">
        <w:rPr>
          <w:noProof/>
        </w:rPr>
        <w:drawing>
          <wp:anchor distT="0" distB="0" distL="114300" distR="114300" simplePos="0" relativeHeight="251662336" behindDoc="0" locked="0" layoutInCell="1" allowOverlap="1" wp14:anchorId="43202DF5" wp14:editId="448FE3D9">
            <wp:simplePos x="0" y="0"/>
            <wp:positionH relativeFrom="column">
              <wp:posOffset>208279</wp:posOffset>
            </wp:positionH>
            <wp:positionV relativeFrom="paragraph">
              <wp:posOffset>6349</wp:posOffset>
            </wp:positionV>
            <wp:extent cx="2976983" cy="17621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7198" cy="176817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43FB" w:rsidRDefault="00D443FB" w:rsidP="005973B9">
      <w:pPr>
        <w:spacing w:line="204" w:lineRule="exact"/>
        <w:rPr>
          <w:rFonts w:ascii="Arial"/>
          <w:b/>
          <w:color w:val="BF5A14"/>
          <w:sz w:val="20"/>
        </w:rPr>
      </w:pPr>
      <w:r>
        <w:rPr>
          <w:rFonts w:ascii="Arial"/>
          <w:b/>
          <w:noProof/>
          <w:color w:val="BF5A14"/>
          <w:sz w:val="20"/>
        </w:rPr>
        <mc:AlternateContent>
          <mc:Choice Requires="wps">
            <w:drawing>
              <wp:anchor distT="0" distB="0" distL="114300" distR="114300" simplePos="0" relativeHeight="251660288" behindDoc="0" locked="0" layoutInCell="1" allowOverlap="1" wp14:anchorId="0FA54DB0" wp14:editId="53A20EF6">
                <wp:simplePos x="0" y="0"/>
                <wp:positionH relativeFrom="column">
                  <wp:posOffset>3952875</wp:posOffset>
                </wp:positionH>
                <wp:positionV relativeFrom="paragraph">
                  <wp:posOffset>4793615</wp:posOffset>
                </wp:positionV>
                <wp:extent cx="2743200" cy="391160"/>
                <wp:effectExtent l="0" t="254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91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43FB" w:rsidRPr="005C6C7D" w:rsidRDefault="00D443FB" w:rsidP="00D443FB">
                            <w:pPr>
                              <w:jc w:val="center"/>
                            </w:pPr>
                            <w:r w:rsidRPr="005C6C7D">
                              <w:rPr>
                                <w:b/>
                              </w:rPr>
                              <w:t>Figure-2</w:t>
                            </w:r>
                            <w:r w:rsidRPr="005C6C7D">
                              <w:t xml:space="preserve"> Solid expandable tubular test rig at Sultan Qaboos University, Muscat, Oman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FA54DB0" id="_x0000_t202" coordsize="21600,21600" o:spt="202" path="m,l,21600r21600,l21600,xe">
                <v:stroke joinstyle="miter"/>
                <v:path gradientshapeok="t" o:connecttype="rect"/>
              </v:shapetype>
              <v:shape id="Text Box 3" o:spid="_x0000_s1026" type="#_x0000_t202" style="position:absolute;margin-left:311.25pt;margin-top:377.45pt;width:3in;height:3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" stroked="f">
                <v:textbox>
                  <w:txbxContent>
                    <w:p w:rsidR="00D443FB" w:rsidRPr="005C6C7D" w:rsidRDefault="00D443FB" w:rsidP="00D443FB">
                      <w:pPr>
                        <w:jc w:val="center"/>
                      </w:pPr>
                      <w:r w:rsidRPr="005C6C7D">
                        <w:rPr>
                          <w:b/>
                        </w:rPr>
                        <w:t>Figure-2</w:t>
                      </w:r>
                      <w:r w:rsidRPr="005C6C7D">
                        <w:t xml:space="preserve"> Solid expandable tubular test rig at Sultan Qaboos University, Muscat, Oman</w:t>
                      </w:r>
                    </w:p>
                  </w:txbxContent>
                </v:textbox>
              </v:shape>
            </w:pict>
          </mc:Fallback>
        </mc:AlternateContent>
      </w:r>
      <w:r>
        <w:rPr>
          <w:rFonts w:ascii="Arial"/>
          <w:b/>
          <w:noProof/>
          <w:color w:val="BF5A14"/>
          <w:sz w:val="20"/>
        </w:rPr>
        <w:drawing>
          <wp:anchor distT="0" distB="0" distL="114300" distR="114300" simplePos="0" relativeHeight="251659264" behindDoc="0" locked="0" layoutInCell="1" allowOverlap="1" wp14:anchorId="0B24CBC9" wp14:editId="1DAA9E63">
            <wp:simplePos x="0" y="0"/>
            <wp:positionH relativeFrom="column">
              <wp:posOffset>4100195</wp:posOffset>
            </wp:positionH>
            <wp:positionV relativeFrom="paragraph">
              <wp:posOffset>2941955</wp:posOffset>
            </wp:positionV>
            <wp:extent cx="2441575" cy="1830705"/>
            <wp:effectExtent l="0" t="0" r="0" b="0"/>
            <wp:wrapNone/>
            <wp:docPr id="2" name="Picture 2" descr="D:\SZQ\Projects\SET Testing\Pics Pull Fix-Fix Test 3 Jan 2011\DSCN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ZQ\Projects\SET Testing\Pics Pull Fix-Fix Test 3 Jan 2011\DSCN02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1575" cy="183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43FB" w:rsidRDefault="005973B9" w:rsidP="005973B9">
      <w:pPr>
        <w:spacing w:line="204" w:lineRule="exact"/>
        <w:rPr>
          <w:rFonts w:ascii="Arial"/>
          <w:b/>
          <w:color w:val="BF5A14"/>
          <w:sz w:val="20"/>
        </w:rPr>
      </w:pPr>
      <w:r>
        <w:rPr>
          <w:rFonts w:ascii="Arial"/>
          <w:b/>
          <w:color w:val="BF5A14"/>
          <w:sz w:val="20"/>
        </w:rPr>
        <w:br/>
      </w: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A43C44" w:rsidRDefault="00D443FB" w:rsidP="00A43C44">
      <w:pPr>
        <w:jc w:val="center"/>
        <w:rPr>
          <w:iCs/>
          <w:sz w:val="18"/>
          <w:szCs w:val="18"/>
        </w:rPr>
      </w:pPr>
      <w:r w:rsidRPr="00D443FB">
        <w:rPr>
          <w:iCs/>
          <w:sz w:val="18"/>
          <w:szCs w:val="18"/>
        </w:rPr>
        <w:t xml:space="preserve">Solid expandable tubular test rig at Sultan Qaboos University, </w:t>
      </w:r>
    </w:p>
    <w:p w:rsidR="00D443FB" w:rsidRPr="00D443FB" w:rsidRDefault="00D443FB" w:rsidP="00A43C44">
      <w:pPr>
        <w:jc w:val="center"/>
        <w:rPr>
          <w:iCs/>
          <w:sz w:val="18"/>
          <w:szCs w:val="18"/>
        </w:rPr>
      </w:pPr>
      <w:r w:rsidRPr="00D443FB">
        <w:rPr>
          <w:iCs/>
          <w:sz w:val="18"/>
          <w:szCs w:val="18"/>
        </w:rPr>
        <w:t>Muscat, Oman</w:t>
      </w:r>
    </w:p>
    <w:p w:rsidR="00D443FB" w:rsidRDefault="00D443FB" w:rsidP="005973B9">
      <w:pPr>
        <w:spacing w:line="204" w:lineRule="exact"/>
        <w:rPr>
          <w:rFonts w:ascii="Arial"/>
          <w:b/>
          <w:color w:val="BF5A14"/>
          <w:sz w:val="20"/>
        </w:rPr>
      </w:pPr>
    </w:p>
    <w:p w:rsidR="00D443FB" w:rsidRDefault="00D443FB"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Recent Publications (minimum 5)</w:t>
      </w:r>
    </w:p>
    <w:p w:rsidR="00D443FB" w:rsidRDefault="00D443FB" w:rsidP="005973B9">
      <w:pPr>
        <w:spacing w:line="204" w:lineRule="exact"/>
        <w:rPr>
          <w:rFonts w:ascii="Arial"/>
          <w:b/>
          <w:color w:val="BF5A14"/>
          <w:sz w:val="20"/>
        </w:rPr>
      </w:pPr>
    </w:p>
    <w:p w:rsidR="007248FD" w:rsidRPr="00645389" w:rsidRDefault="007248FD" w:rsidP="007248FD">
      <w:pPr>
        <w:widowControl/>
        <w:numPr>
          <w:ilvl w:val="0"/>
          <w:numId w:val="3"/>
        </w:numPr>
        <w:tabs>
          <w:tab w:val="left" w:pos="720"/>
        </w:tabs>
        <w:jc w:val="both"/>
        <w:rPr>
          <w:iCs/>
          <w:sz w:val="18"/>
          <w:szCs w:val="18"/>
        </w:rPr>
      </w:pPr>
      <w:r w:rsidRPr="00645389">
        <w:rPr>
          <w:iCs/>
          <w:sz w:val="18"/>
          <w:szCs w:val="18"/>
        </w:rPr>
        <w:t xml:space="preserve">Al-Abri OS, Pervez T, Qamar SZ, Khan R (2016) “On the Performance Analysis of AHSS with an Application to SET Technology </w:t>
      </w:r>
      <w:r w:rsidRPr="00645389">
        <w:rPr>
          <w:iCs/>
          <w:sz w:val="18"/>
          <w:szCs w:val="18"/>
        </w:rPr>
        <w:sym w:font="Symbol" w:char="F0BE"/>
      </w:r>
      <w:r w:rsidRPr="00645389">
        <w:rPr>
          <w:iCs/>
          <w:sz w:val="18"/>
          <w:szCs w:val="18"/>
        </w:rPr>
        <w:t xml:space="preserve"> FEM Simulations and Experimental Measurements,” Thin Walled Structures, 101 (2</w:t>
      </w:r>
      <w:r>
        <w:rPr>
          <w:iCs/>
          <w:sz w:val="18"/>
          <w:szCs w:val="18"/>
        </w:rPr>
        <w:t>016), p 58-74</w:t>
      </w:r>
    </w:p>
    <w:p w:rsidR="007248FD" w:rsidRPr="00645389" w:rsidRDefault="007248FD" w:rsidP="007248FD">
      <w:pPr>
        <w:widowControl/>
        <w:numPr>
          <w:ilvl w:val="0"/>
          <w:numId w:val="3"/>
        </w:numPr>
        <w:tabs>
          <w:tab w:val="left" w:pos="720"/>
        </w:tabs>
        <w:jc w:val="both"/>
        <w:rPr>
          <w:iCs/>
          <w:sz w:val="18"/>
          <w:szCs w:val="18"/>
        </w:rPr>
      </w:pPr>
      <w:r w:rsidRPr="00645389">
        <w:rPr>
          <w:iCs/>
          <w:sz w:val="18"/>
          <w:szCs w:val="18"/>
        </w:rPr>
        <w:t xml:space="preserve">Al-Abri OS, Pervez T, Qamar SZ, Al-Busaidi AM (2015) “Optimum Mandrel Configuration for Efficient Down-Hole Tube Expansion,” Journal of Manufacturing Science and Engineering, </w:t>
      </w:r>
      <w:hyperlink r:id="rId12" w:tooltip="Go to the information page for this source" w:history="1">
        <w:r w:rsidRPr="00645389">
          <w:rPr>
            <w:iCs/>
            <w:sz w:val="18"/>
            <w:szCs w:val="18"/>
          </w:rPr>
          <w:t>Transactions of the ASME</w:t>
        </w:r>
      </w:hyperlink>
      <w:r w:rsidRPr="00645389">
        <w:rPr>
          <w:iCs/>
          <w:sz w:val="18"/>
          <w:szCs w:val="18"/>
        </w:rPr>
        <w:t>, 137 (6), 01 Decem</w:t>
      </w:r>
      <w:r>
        <w:rPr>
          <w:iCs/>
          <w:sz w:val="18"/>
          <w:szCs w:val="18"/>
        </w:rPr>
        <w:t>ber 2015</w:t>
      </w:r>
    </w:p>
    <w:p w:rsidR="001F592D" w:rsidRPr="001F592D" w:rsidRDefault="001F592D" w:rsidP="001F592D">
      <w:pPr>
        <w:widowControl/>
        <w:numPr>
          <w:ilvl w:val="0"/>
          <w:numId w:val="3"/>
        </w:numPr>
        <w:shd w:val="clear" w:color="auto" w:fill="FFFFFF"/>
        <w:tabs>
          <w:tab w:val="left" w:pos="720"/>
        </w:tabs>
        <w:autoSpaceDE w:val="0"/>
        <w:autoSpaceDN w:val="0"/>
        <w:adjustRightInd w:val="0"/>
        <w:ind w:right="29"/>
        <w:jc w:val="both"/>
        <w:rPr>
          <w:iCs/>
          <w:sz w:val="18"/>
          <w:szCs w:val="18"/>
        </w:rPr>
      </w:pPr>
      <w:r w:rsidRPr="001F592D">
        <w:rPr>
          <w:iCs/>
          <w:sz w:val="18"/>
          <w:szCs w:val="18"/>
        </w:rPr>
        <w:t>Qamar SZ, Pervez T (2014) “Pre and Post-Expansion Mechanical Behavior of Expandable Tubulars,” Materials Science &amp; Technology 2014 (MS&amp;T-2014), 12-16 Oct 2014, Pittsburgh, USA</w:t>
      </w:r>
    </w:p>
    <w:p w:rsidR="007248FD" w:rsidRPr="00645389" w:rsidRDefault="007248FD" w:rsidP="007248FD">
      <w:pPr>
        <w:widowControl/>
        <w:numPr>
          <w:ilvl w:val="0"/>
          <w:numId w:val="3"/>
        </w:numPr>
        <w:shd w:val="clear" w:color="auto" w:fill="FFFFFF"/>
        <w:tabs>
          <w:tab w:val="left" w:pos="720"/>
        </w:tabs>
        <w:autoSpaceDE w:val="0"/>
        <w:autoSpaceDN w:val="0"/>
        <w:adjustRightInd w:val="0"/>
        <w:ind w:right="29"/>
        <w:jc w:val="both"/>
        <w:rPr>
          <w:iCs/>
          <w:sz w:val="18"/>
          <w:szCs w:val="18"/>
        </w:rPr>
      </w:pPr>
      <w:r w:rsidRPr="00645389">
        <w:rPr>
          <w:iCs/>
          <w:sz w:val="18"/>
          <w:szCs w:val="18"/>
        </w:rPr>
        <w:t>Pervez T, Qamar SZ, Al-Abri OS, Khan R, Al-Abri BH (2012) “Experimental and Numerical Simulation of In-Situ Tube Expansion for Deep Gas Wells,” Materials and Manufacturing Processes, 27 (7), 2012, p 727-732</w:t>
      </w:r>
    </w:p>
    <w:p w:rsidR="001F592D" w:rsidRPr="00D443FB" w:rsidRDefault="001F592D" w:rsidP="001F592D">
      <w:pPr>
        <w:widowControl/>
        <w:numPr>
          <w:ilvl w:val="0"/>
          <w:numId w:val="3"/>
        </w:numPr>
        <w:shd w:val="clear" w:color="auto" w:fill="FFFFFF"/>
        <w:tabs>
          <w:tab w:val="left" w:pos="720"/>
        </w:tabs>
        <w:autoSpaceDE w:val="0"/>
        <w:autoSpaceDN w:val="0"/>
        <w:adjustRightInd w:val="0"/>
        <w:ind w:right="29"/>
        <w:jc w:val="both"/>
        <w:rPr>
          <w:iCs/>
          <w:sz w:val="18"/>
          <w:szCs w:val="18"/>
        </w:rPr>
      </w:pPr>
      <w:r w:rsidRPr="001F592D">
        <w:rPr>
          <w:iCs/>
          <w:sz w:val="18"/>
          <w:szCs w:val="18"/>
        </w:rPr>
        <w:t>Qamar SZ, Pervez T, Al-Houqani S, Velden M (2012) “Effect of Cold Work on Mechanical Properties of Expandable Tubulars,” 16th International Research/Expert Conference “Trends in the Development of Machinery and Associated Technology” (TMT-2012), 10-12 September 2012, Dubai, UAE</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64825F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FBA">
        <w:rPr>
          <w:noProof/>
        </w:rPr>
        <w:t xml:space="preserve">   </w:t>
      </w:r>
      <w:r w:rsidR="00A9710C">
        <w:rPr>
          <w:rFonts w:ascii="Arial"/>
          <w:color w:val="BF5A14"/>
        </w:rPr>
        <w:t>Biography</w:t>
      </w:r>
      <w:r w:rsidR="00404E5B">
        <w:rPr>
          <w:rFonts w:ascii="Arial"/>
          <w:color w:val="BF5A14"/>
        </w:rPr>
        <w:t xml:space="preserve"> (150 word limit)</w:t>
      </w:r>
    </w:p>
    <w:p w:rsidR="00AE3E37" w:rsidRDefault="001F592D" w:rsidP="000B79F3">
      <w:pPr>
        <w:spacing w:before="41" w:line="154" w:lineRule="exact"/>
        <w:ind w:left="213" w:right="231"/>
        <w:jc w:val="both"/>
        <w:rPr>
          <w:rFonts w:ascii="Arial"/>
          <w:sz w:val="14"/>
        </w:rPr>
      </w:pPr>
      <w:r w:rsidRPr="001F592D">
        <w:rPr>
          <w:rFonts w:ascii="Arial"/>
          <w:sz w:val="14"/>
        </w:rPr>
        <w:t xml:space="preserve">Prof Sayyad Zahid Qamar is currently associated with the Mechanical and Industrial Engineering Department, Sultan Qaboos University, </w:t>
      </w:r>
      <w:r w:rsidR="000B79F3">
        <w:rPr>
          <w:rFonts w:ascii="Arial"/>
          <w:sz w:val="14"/>
        </w:rPr>
        <w:t xml:space="preserve">Muscat, </w:t>
      </w:r>
      <w:r w:rsidRPr="001F592D">
        <w:rPr>
          <w:rFonts w:ascii="Arial"/>
          <w:sz w:val="14"/>
        </w:rPr>
        <w:t xml:space="preserve">Oman. </w:t>
      </w:r>
      <w:r w:rsidR="000B79F3">
        <w:rPr>
          <w:rFonts w:ascii="Arial"/>
          <w:sz w:val="14"/>
        </w:rPr>
        <w:t xml:space="preserve">He has worked </w:t>
      </w:r>
      <w:r w:rsidR="000B79F3" w:rsidRPr="001F592D">
        <w:rPr>
          <w:rFonts w:ascii="Arial"/>
          <w:sz w:val="14"/>
        </w:rPr>
        <w:t xml:space="preserve">both as a university academician and </w:t>
      </w:r>
      <w:r w:rsidR="000B79F3">
        <w:rPr>
          <w:rFonts w:ascii="Arial"/>
          <w:sz w:val="14"/>
        </w:rPr>
        <w:t xml:space="preserve">a </w:t>
      </w:r>
      <w:r w:rsidR="000B79F3" w:rsidRPr="001F592D">
        <w:rPr>
          <w:rFonts w:ascii="Arial"/>
          <w:sz w:val="14"/>
        </w:rPr>
        <w:t>researcher, and as a field engineer (mechanical)</w:t>
      </w:r>
      <w:r w:rsidR="000B79F3">
        <w:rPr>
          <w:rFonts w:ascii="Arial"/>
          <w:sz w:val="14"/>
        </w:rPr>
        <w:t xml:space="preserve">, during his </w:t>
      </w:r>
      <w:r w:rsidRPr="001F592D">
        <w:rPr>
          <w:rFonts w:ascii="Arial"/>
          <w:sz w:val="14"/>
        </w:rPr>
        <w:t xml:space="preserve">twenty-five years of professional </w:t>
      </w:r>
      <w:r w:rsidR="000B79F3">
        <w:rPr>
          <w:rFonts w:ascii="Arial"/>
          <w:sz w:val="14"/>
        </w:rPr>
        <w:t>service</w:t>
      </w:r>
      <w:r w:rsidRPr="001F592D">
        <w:rPr>
          <w:rFonts w:ascii="Arial"/>
          <w:sz w:val="14"/>
        </w:rPr>
        <w:t xml:space="preserve">. His main research areas are Applied materials and manufacturing; Applied mechanics and design; Reliability engineering; and Engineering education. He has worked on different funded projects in excess of 4 million </w:t>
      </w:r>
      <w:r w:rsidR="000B79F3">
        <w:rPr>
          <w:rFonts w:ascii="Arial"/>
          <w:sz w:val="14"/>
        </w:rPr>
        <w:t xml:space="preserve">US </w:t>
      </w:r>
      <w:r w:rsidRPr="001F592D">
        <w:rPr>
          <w:rFonts w:ascii="Arial"/>
          <w:sz w:val="14"/>
        </w:rPr>
        <w:t>dollars. He is the author of one research monograph (book), two book chapters, over 120 publications in refereed international journals and conferences, and 31 technical reports. He has also edited two technical book volumes, and is serving on the editorial boards of various well-known research journals. He has conducted experimental, numerical, analytical, and stochastic studies in the areas of Swelling and inert elastomers; Solid expandable tubulars; Metalforming process, product, and tooling; etc.</w:t>
      </w:r>
    </w:p>
    <w:p w:rsidR="00AE3E37" w:rsidRDefault="00A9710C" w:rsidP="001F592D">
      <w:pPr>
        <w:spacing w:before="62"/>
        <w:ind w:left="4217" w:right="4235"/>
        <w:jc w:val="center"/>
        <w:rPr>
          <w:rFonts w:ascii="Arial"/>
          <w:sz w:val="14"/>
        </w:rPr>
      </w:pPr>
      <w:r>
        <w:rPr>
          <w:rFonts w:ascii="Arial"/>
          <w:sz w:val="14"/>
        </w:rPr>
        <w:t xml:space="preserve">Email: </w:t>
      </w:r>
      <w:hyperlink r:id="rId14" w:history="1">
        <w:r w:rsidR="001F592D" w:rsidRPr="006D5F6C">
          <w:rPr>
            <w:rStyle w:val="Hyperlink"/>
            <w:rFonts w:ascii="Arial"/>
            <w:sz w:val="14"/>
          </w:rPr>
          <w:t>sayyad@squ.edu.om</w:t>
        </w:r>
      </w:hyperlink>
      <w:r w:rsidR="001F592D">
        <w:rPr>
          <w:rStyle w:val="Hyperlink"/>
          <w:rFonts w:ascii="Arial"/>
          <w:sz w:val="14"/>
        </w:rPr>
        <w:t>; zahidqam2000@yahoo.com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2CECA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1F592D" w:rsidRPr="001F592D" w:rsidRDefault="00A9710C" w:rsidP="001F592D">
      <w:pPr>
        <w:spacing w:before="39"/>
        <w:ind w:left="100"/>
        <w:rPr>
          <w:rFonts w:ascii="Minion Pro"/>
          <w:b/>
          <w:sz w:val="20"/>
        </w:rPr>
        <w:sectPr w:rsidR="001F592D" w:rsidRPr="001F592D">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1F592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0E6" w:rsidRDefault="00D270E6">
      <w:r>
        <w:separator/>
      </w:r>
    </w:p>
  </w:endnote>
  <w:endnote w:type="continuationSeparator" w:id="0">
    <w:p w:rsidR="00D270E6" w:rsidRDefault="00D2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0E6" w:rsidRDefault="00D270E6">
      <w:r>
        <w:separator/>
      </w:r>
    </w:p>
  </w:footnote>
  <w:footnote w:type="continuationSeparator" w:id="0">
    <w:p w:rsidR="00D270E6" w:rsidRDefault="00D27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C4464B5"/>
    <w:multiLevelType w:val="hybridMultilevel"/>
    <w:tmpl w:val="7E7A9EEA"/>
    <w:lvl w:ilvl="0" w:tplc="0409000F">
      <w:start w:val="1"/>
      <w:numFmt w:val="decimal"/>
      <w:lvlText w:val="%1."/>
      <w:lvlJc w:val="left"/>
      <w:pPr>
        <w:ind w:left="-3007" w:hanging="360"/>
      </w:pPr>
    </w:lvl>
    <w:lvl w:ilvl="1" w:tplc="04090019" w:tentative="1">
      <w:start w:val="1"/>
      <w:numFmt w:val="lowerLetter"/>
      <w:lvlText w:val="%2."/>
      <w:lvlJc w:val="left"/>
      <w:pPr>
        <w:ind w:left="-2287" w:hanging="360"/>
      </w:pPr>
    </w:lvl>
    <w:lvl w:ilvl="2" w:tplc="0409001B" w:tentative="1">
      <w:start w:val="1"/>
      <w:numFmt w:val="lowerRoman"/>
      <w:lvlText w:val="%3."/>
      <w:lvlJc w:val="right"/>
      <w:pPr>
        <w:ind w:left="-1567" w:hanging="180"/>
      </w:pPr>
    </w:lvl>
    <w:lvl w:ilvl="3" w:tplc="0409000F" w:tentative="1">
      <w:start w:val="1"/>
      <w:numFmt w:val="decimal"/>
      <w:lvlText w:val="%4."/>
      <w:lvlJc w:val="left"/>
      <w:pPr>
        <w:ind w:left="-847" w:hanging="360"/>
      </w:pPr>
    </w:lvl>
    <w:lvl w:ilvl="4" w:tplc="04090019" w:tentative="1">
      <w:start w:val="1"/>
      <w:numFmt w:val="lowerLetter"/>
      <w:lvlText w:val="%5."/>
      <w:lvlJc w:val="left"/>
      <w:pPr>
        <w:ind w:left="-127" w:hanging="360"/>
      </w:pPr>
    </w:lvl>
    <w:lvl w:ilvl="5" w:tplc="0409001B" w:tentative="1">
      <w:start w:val="1"/>
      <w:numFmt w:val="lowerRoman"/>
      <w:lvlText w:val="%6."/>
      <w:lvlJc w:val="right"/>
      <w:pPr>
        <w:ind w:left="593" w:hanging="180"/>
      </w:pPr>
    </w:lvl>
    <w:lvl w:ilvl="6" w:tplc="0409000F" w:tentative="1">
      <w:start w:val="1"/>
      <w:numFmt w:val="decimal"/>
      <w:lvlText w:val="%7."/>
      <w:lvlJc w:val="left"/>
      <w:pPr>
        <w:ind w:left="1313" w:hanging="360"/>
      </w:pPr>
    </w:lvl>
    <w:lvl w:ilvl="7" w:tplc="04090019" w:tentative="1">
      <w:start w:val="1"/>
      <w:numFmt w:val="lowerLetter"/>
      <w:lvlText w:val="%8."/>
      <w:lvlJc w:val="left"/>
      <w:pPr>
        <w:ind w:left="2033" w:hanging="360"/>
      </w:pPr>
    </w:lvl>
    <w:lvl w:ilvl="8" w:tplc="0409001B" w:tentative="1">
      <w:start w:val="1"/>
      <w:numFmt w:val="lowerRoman"/>
      <w:lvlText w:val="%9."/>
      <w:lvlJc w:val="right"/>
      <w:pPr>
        <w:ind w:left="2753"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79F3"/>
    <w:rsid w:val="000E2911"/>
    <w:rsid w:val="001263DF"/>
    <w:rsid w:val="00141464"/>
    <w:rsid w:val="001C7287"/>
    <w:rsid w:val="001F592D"/>
    <w:rsid w:val="00292ED9"/>
    <w:rsid w:val="002C0761"/>
    <w:rsid w:val="00404E5B"/>
    <w:rsid w:val="00414F7B"/>
    <w:rsid w:val="004171F4"/>
    <w:rsid w:val="004355DC"/>
    <w:rsid w:val="004749B4"/>
    <w:rsid w:val="00494130"/>
    <w:rsid w:val="004F3523"/>
    <w:rsid w:val="005205BA"/>
    <w:rsid w:val="005973B9"/>
    <w:rsid w:val="005B3A56"/>
    <w:rsid w:val="006060CE"/>
    <w:rsid w:val="0063497F"/>
    <w:rsid w:val="007248FD"/>
    <w:rsid w:val="00830F8B"/>
    <w:rsid w:val="00873DF0"/>
    <w:rsid w:val="008756E6"/>
    <w:rsid w:val="009B2D44"/>
    <w:rsid w:val="00A07E82"/>
    <w:rsid w:val="00A43C44"/>
    <w:rsid w:val="00A72B51"/>
    <w:rsid w:val="00A9710C"/>
    <w:rsid w:val="00AA6C23"/>
    <w:rsid w:val="00AE3E37"/>
    <w:rsid w:val="00B21A57"/>
    <w:rsid w:val="00BC3EEA"/>
    <w:rsid w:val="00C33602"/>
    <w:rsid w:val="00CD6F55"/>
    <w:rsid w:val="00D270E6"/>
    <w:rsid w:val="00D443FB"/>
    <w:rsid w:val="00DE3104"/>
    <w:rsid w:val="00E27B12"/>
    <w:rsid w:val="00F72EEA"/>
    <w:rsid w:val="00F84CAE"/>
    <w:rsid w:val="00FB6FB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copus.com/source/sourceInfo.uri?sourceId=20966&amp;origin=recordpag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sayyad@squ.edu.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Zahid Qamar</cp:lastModifiedBy>
  <cp:revision>2</cp:revision>
  <dcterms:created xsi:type="dcterms:W3CDTF">2016-12-29T09:14:00Z</dcterms:created>
  <dcterms:modified xsi:type="dcterms:W3CDTF">2016-12-29T09:14:00Z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