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D1B" w:rsidRPr="006827C3" w:rsidRDefault="00A83D1B" w:rsidP="006827C3">
      <w:pPr>
        <w:pStyle w:val="Heading1"/>
        <w:spacing w:before="0" w:line="240" w:lineRule="auto"/>
        <w:contextualSpacing/>
        <w:jc w:val="center"/>
        <w:rPr>
          <w:rFonts w:ascii="Times New Roman" w:hAnsi="Times New Roman" w:cs="Times New Roman"/>
          <w:color w:val="auto"/>
          <w:sz w:val="24"/>
          <w:szCs w:val="24"/>
        </w:rPr>
      </w:pPr>
      <w:bookmarkStart w:id="0" w:name="_Toc516637222"/>
      <w:r w:rsidRPr="006827C3">
        <w:rPr>
          <w:rFonts w:ascii="Times New Roman" w:hAnsi="Times New Roman" w:cs="Times New Roman"/>
          <w:color w:val="auto"/>
          <w:sz w:val="24"/>
          <w:szCs w:val="24"/>
        </w:rPr>
        <w:t>Metabolomics technology and its application in health and food safety assessment</w:t>
      </w:r>
    </w:p>
    <w:p w:rsidR="00A83D1B" w:rsidRPr="006827C3" w:rsidRDefault="00A83D1B" w:rsidP="006827C3">
      <w:pPr>
        <w:spacing w:after="0" w:line="240" w:lineRule="auto"/>
        <w:contextualSpacing/>
        <w:jc w:val="center"/>
        <w:rPr>
          <w:rFonts w:ascii="Times New Roman" w:hAnsi="Times New Roman" w:cs="Times New Roman"/>
          <w:b/>
          <w:color w:val="auto"/>
          <w:sz w:val="24"/>
          <w:szCs w:val="24"/>
        </w:rPr>
      </w:pPr>
      <w:r w:rsidRPr="006827C3">
        <w:rPr>
          <w:rFonts w:ascii="Times New Roman" w:hAnsi="Times New Roman" w:cs="Times New Roman"/>
          <w:b/>
          <w:color w:val="auto"/>
          <w:sz w:val="24"/>
          <w:szCs w:val="24"/>
        </w:rPr>
        <w:t>Alemu Tebeje</w:t>
      </w:r>
      <w:r w:rsidRPr="006827C3">
        <w:rPr>
          <w:rFonts w:ascii="Times New Roman" w:hAnsi="Times New Roman" w:cs="Times New Roman"/>
          <w:b/>
          <w:color w:val="auto"/>
          <w:sz w:val="24"/>
          <w:szCs w:val="24"/>
        </w:rPr>
        <w:t xml:space="preserve"> Tesfaw</w:t>
      </w:r>
    </w:p>
    <w:p w:rsidR="00A83D1B" w:rsidRPr="006827C3" w:rsidRDefault="00A83D1B" w:rsidP="006827C3">
      <w:pPr>
        <w:pStyle w:val="Heading1"/>
        <w:spacing w:before="0" w:line="240" w:lineRule="auto"/>
        <w:contextualSpacing/>
        <w:jc w:val="center"/>
        <w:rPr>
          <w:rFonts w:ascii="Times New Roman" w:hAnsi="Times New Roman" w:cs="Times New Roman"/>
          <w:color w:val="auto"/>
          <w:sz w:val="24"/>
          <w:szCs w:val="24"/>
        </w:rPr>
      </w:pPr>
      <w:r w:rsidRPr="006827C3">
        <w:rPr>
          <w:rFonts w:ascii="Times New Roman" w:hAnsi="Times New Roman" w:cs="Times New Roman"/>
          <w:color w:val="auto"/>
          <w:sz w:val="24"/>
          <w:szCs w:val="24"/>
          <w:vertAlign w:val="superscript"/>
        </w:rPr>
        <w:t>1</w:t>
      </w:r>
      <w:r w:rsidRPr="006827C3">
        <w:rPr>
          <w:rFonts w:ascii="Times New Roman" w:hAnsi="Times New Roman" w:cs="Times New Roman"/>
          <w:color w:val="auto"/>
          <w:sz w:val="24"/>
          <w:szCs w:val="24"/>
        </w:rPr>
        <w:t xml:space="preserve">University of Gondar, Institute of Biotechnology, </w:t>
      </w:r>
      <w:r w:rsidRPr="006827C3">
        <w:rPr>
          <w:rFonts w:ascii="Times New Roman" w:hAnsi="Times New Roman" w:cs="Times New Roman"/>
          <w:color w:val="auto"/>
          <w:sz w:val="24"/>
          <w:szCs w:val="24"/>
        </w:rPr>
        <w:t>P.O.B, 196, Gondar, Ethiopia</w:t>
      </w:r>
    </w:p>
    <w:p w:rsidR="00657EE4" w:rsidRPr="006827C3" w:rsidRDefault="00657EE4" w:rsidP="006827C3">
      <w:pPr>
        <w:pStyle w:val="Heading1"/>
        <w:spacing w:before="0" w:line="240" w:lineRule="auto"/>
        <w:contextualSpacing/>
        <w:jc w:val="center"/>
        <w:rPr>
          <w:rFonts w:ascii="Times New Roman" w:hAnsi="Times New Roman" w:cs="Times New Roman"/>
          <w:color w:val="auto"/>
          <w:sz w:val="24"/>
          <w:szCs w:val="24"/>
        </w:rPr>
      </w:pPr>
      <w:r w:rsidRPr="006827C3">
        <w:rPr>
          <w:rFonts w:ascii="Times New Roman" w:hAnsi="Times New Roman" w:cs="Times New Roman"/>
          <w:color w:val="auto"/>
          <w:sz w:val="24"/>
          <w:szCs w:val="24"/>
        </w:rPr>
        <w:t>ABSTRACT</w:t>
      </w:r>
      <w:bookmarkEnd w:id="0"/>
    </w:p>
    <w:p w:rsidR="00C3228E" w:rsidRPr="006827C3" w:rsidRDefault="00657EE4" w:rsidP="00A83D1B">
      <w:pPr>
        <w:pStyle w:val="NormalWeb"/>
        <w:shd w:val="clear" w:color="auto" w:fill="FFFFFF"/>
        <w:spacing w:before="0" w:beforeAutospacing="0" w:after="0" w:afterAutospacing="0"/>
        <w:contextualSpacing/>
        <w:jc w:val="both"/>
        <w:rPr>
          <w:rFonts w:ascii="Tw Cen MT Condensed" w:hAnsi="Tw Cen MT Condensed"/>
          <w:i/>
          <w:shd w:val="clear" w:color="auto" w:fill="FFFFFF"/>
        </w:rPr>
      </w:pPr>
      <w:bookmarkStart w:id="1" w:name="_Toc515994586"/>
      <w:bookmarkStart w:id="2" w:name="_gjdgxs"/>
      <w:bookmarkEnd w:id="1"/>
      <w:bookmarkEnd w:id="2"/>
      <w:r w:rsidRPr="006827C3">
        <w:rPr>
          <w:rFonts w:ascii="Tw Cen MT Condensed" w:hAnsi="Tw Cen MT Condensed"/>
          <w:i/>
          <w:shd w:val="clear" w:color="auto" w:fill="FFFFFF"/>
        </w:rPr>
        <w:t xml:space="preserve">Metabolomics is an inclusive analysis of metabolites in a biological sample. High-resolution methods using advanced metabolomics approaches provide a powerful platform for clinical research, food, and diagnostic applications. This </w:t>
      </w:r>
      <w:r w:rsidRPr="006827C3">
        <w:rPr>
          <w:rFonts w:ascii="Tw Cen MT Condensed" w:hAnsi="Tw Cen MT Condensed"/>
          <w:i/>
          <w:shd w:val="clear" w:color="auto" w:fill="FFFFFF"/>
        </w:rPr>
        <w:t>Poster presentation</w:t>
      </w:r>
      <w:r w:rsidRPr="006827C3">
        <w:rPr>
          <w:rFonts w:ascii="Tw Cen MT Condensed" w:hAnsi="Tw Cen MT Condensed"/>
          <w:i/>
          <w:shd w:val="clear" w:color="auto" w:fill="FFFFFF"/>
        </w:rPr>
        <w:t xml:space="preserve"> reveals the importance of metabolomics in drug discovery, drug toxicity profiling, and food industries, especially in food and allied beverage testing. Nuclear magnetic resonance, spectroscopy, and mass spectrometry are analytical techniques for detecting hundreds to thousands of metabolites in tissues and bio-fluids.</w:t>
      </w:r>
      <w:r w:rsidRPr="006827C3">
        <w:rPr>
          <w:rFonts w:ascii="Tw Cen MT Condensed" w:hAnsi="Tw Cen MT Condensed"/>
          <w:b/>
          <w:i/>
          <w:shd w:val="clear" w:color="auto" w:fill="FFFFFF"/>
        </w:rPr>
        <w:t xml:space="preserve"> </w:t>
      </w:r>
      <w:r w:rsidRPr="006827C3">
        <w:rPr>
          <w:rFonts w:ascii="Tw Cen MT Condensed" w:hAnsi="Tw Cen MT Condensed"/>
          <w:i/>
          <w:shd w:val="clear" w:color="auto" w:fill="FFFFFF"/>
        </w:rPr>
        <w:t xml:space="preserve">From the </w:t>
      </w:r>
      <w:r w:rsidR="00A83D1B" w:rsidRPr="006827C3">
        <w:rPr>
          <w:rFonts w:ascii="Tw Cen MT Condensed" w:hAnsi="Tw Cen MT Condensed"/>
          <w:i/>
          <w:shd w:val="clear" w:color="auto" w:fill="FFFFFF"/>
        </w:rPr>
        <w:t>poster presentation</w:t>
      </w:r>
      <w:r w:rsidRPr="006827C3">
        <w:rPr>
          <w:rFonts w:ascii="Tw Cen MT Condensed" w:hAnsi="Tw Cen MT Condensed"/>
          <w:i/>
          <w:shd w:val="clear" w:color="auto" w:fill="FFFFFF"/>
        </w:rPr>
        <w:t xml:space="preserve">, different techniques of metabolomics technology, and application in varied fields of disciplines, </w:t>
      </w:r>
      <w:r w:rsidR="00A83D1B" w:rsidRPr="006827C3">
        <w:rPr>
          <w:rFonts w:ascii="Tw Cen MT Condensed" w:hAnsi="Tw Cen MT Condensed"/>
          <w:i/>
          <w:shd w:val="clear" w:color="auto" w:fill="FFFFFF"/>
        </w:rPr>
        <w:t>will</w:t>
      </w:r>
      <w:r w:rsidRPr="006827C3">
        <w:rPr>
          <w:rFonts w:ascii="Tw Cen MT Condensed" w:hAnsi="Tw Cen MT Condensed"/>
          <w:i/>
          <w:shd w:val="clear" w:color="auto" w:fill="FFFFFF"/>
        </w:rPr>
        <w:t xml:space="preserve"> clearly explained. This </w:t>
      </w:r>
      <w:r w:rsidR="00A83D1B" w:rsidRPr="006827C3">
        <w:rPr>
          <w:rFonts w:ascii="Tw Cen MT Condensed" w:hAnsi="Tw Cen MT Condensed"/>
          <w:i/>
          <w:shd w:val="clear" w:color="auto" w:fill="FFFFFF"/>
        </w:rPr>
        <w:t>presentation</w:t>
      </w:r>
      <w:r w:rsidRPr="006827C3">
        <w:rPr>
          <w:rFonts w:ascii="Tw Cen MT Condensed" w:hAnsi="Tw Cen MT Condensed"/>
          <w:i/>
          <w:shd w:val="clear" w:color="auto" w:fill="FFFFFF"/>
        </w:rPr>
        <w:t xml:space="preserve"> </w:t>
      </w:r>
      <w:r w:rsidR="00A83D1B" w:rsidRPr="006827C3">
        <w:rPr>
          <w:rFonts w:ascii="Tw Cen MT Condensed" w:hAnsi="Tw Cen MT Condensed"/>
          <w:i/>
          <w:shd w:val="clear" w:color="auto" w:fill="FFFFFF"/>
        </w:rPr>
        <w:t>will be important</w:t>
      </w:r>
      <w:r w:rsidRPr="006827C3">
        <w:rPr>
          <w:rFonts w:ascii="Tw Cen MT Condensed" w:hAnsi="Tw Cen MT Condensed"/>
          <w:i/>
          <w:shd w:val="clear" w:color="auto" w:fill="FFFFFF"/>
        </w:rPr>
        <w:t xml:space="preserve"> for a researcher by allowing quick, accessible, and precise metabolome profiling and for teachers and students to expand knowledge in Metabolomics.</w:t>
      </w:r>
      <w:r w:rsidR="00A83D1B" w:rsidRPr="006827C3">
        <w:rPr>
          <w:rFonts w:ascii="Tw Cen MT Condensed" w:hAnsi="Tw Cen MT Condensed"/>
          <w:i/>
          <w:shd w:val="clear" w:color="auto" w:fill="FFFFFF"/>
        </w:rPr>
        <w:t xml:space="preserve"> In c</w:t>
      </w:r>
      <w:r w:rsidRPr="006827C3">
        <w:rPr>
          <w:rFonts w:ascii="Tw Cen MT Condensed" w:hAnsi="Tw Cen MT Condensed"/>
          <w:b/>
          <w:i/>
          <w:shd w:val="clear" w:color="auto" w:fill="FFFFFF"/>
        </w:rPr>
        <w:t>onclusions</w:t>
      </w:r>
      <w:r w:rsidRPr="006827C3">
        <w:rPr>
          <w:rFonts w:ascii="Tw Cen MT Condensed" w:hAnsi="Tw Cen MT Condensed"/>
          <w:i/>
          <w:shd w:val="clear" w:color="auto" w:fill="FFFFFF"/>
        </w:rPr>
        <w:t>: metabolomics can identify diagnostic cancer biomarkers, understand its complex heterogeneous nature, discover pathways involved in cancer, and monitor metabolic biomarkers during a therapeutic intervention in the clinic. In the agricultural or chemical industry, metabolomics uses for the development of herbicides and pesticides.</w:t>
      </w:r>
    </w:p>
    <w:p w:rsidR="00A83D1B" w:rsidRPr="006827C3" w:rsidRDefault="00A83D1B" w:rsidP="00A83D1B">
      <w:pPr>
        <w:pStyle w:val="NormalWeb"/>
        <w:shd w:val="clear" w:color="auto" w:fill="FFFFFF"/>
        <w:spacing w:before="0" w:beforeAutospacing="0" w:after="0" w:afterAutospacing="0"/>
        <w:contextualSpacing/>
        <w:jc w:val="both"/>
        <w:rPr>
          <w:rFonts w:ascii="Tw Cen MT Condensed" w:hAnsi="Tw Cen MT Condensed"/>
        </w:rPr>
      </w:pPr>
      <w:r w:rsidRPr="006827C3">
        <w:rPr>
          <w:rFonts w:ascii="Tw Cen MT Condensed" w:hAnsi="Tw Cen MT Condensed"/>
          <w:noProof/>
        </w:rPr>
        <w:drawing>
          <wp:inline distT="0" distB="0" distL="0" distR="0">
            <wp:extent cx="6438265" cy="3457575"/>
            <wp:effectExtent l="0" t="0" r="635" b="9525"/>
            <wp:docPr id="1" name="Picture 1" descr="C:\Users\Alemu Tebeje\OneDrive - University of Gondar,\Desktop\biomarker\Figure 8 General flow chart of a typical metabolomics experiment in a cancer stu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mu Tebeje\OneDrive - University of Gondar,\Desktop\biomarker\Figure 8 General flow chart of a typical metabolomics experiment in a cancer study.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41667" cy="3459402"/>
                    </a:xfrm>
                    <a:prstGeom prst="rect">
                      <a:avLst/>
                    </a:prstGeom>
                    <a:noFill/>
                    <a:ln>
                      <a:noFill/>
                    </a:ln>
                  </pic:spPr>
                </pic:pic>
              </a:graphicData>
            </a:graphic>
          </wp:inline>
        </w:drawing>
      </w:r>
    </w:p>
    <w:p w:rsidR="00A83D1B" w:rsidRPr="006827C3" w:rsidRDefault="00A83D1B" w:rsidP="00A83D1B">
      <w:pPr>
        <w:spacing w:after="0" w:line="360" w:lineRule="auto"/>
        <w:jc w:val="both"/>
        <w:rPr>
          <w:rFonts w:ascii="Tw Cen MT Condensed" w:hAnsi="Tw Cen MT Condensed" w:cs="Times New Roman"/>
          <w:b/>
          <w:color w:val="auto"/>
          <w:sz w:val="24"/>
          <w:szCs w:val="24"/>
        </w:rPr>
      </w:pPr>
      <w:r w:rsidRPr="006827C3">
        <w:rPr>
          <w:rFonts w:ascii="Tw Cen MT Condensed" w:hAnsi="Tw Cen MT Condensed" w:cs="Times New Roman"/>
          <w:b/>
          <w:color w:val="auto"/>
          <w:sz w:val="24"/>
          <w:szCs w:val="24"/>
        </w:rPr>
        <w:t xml:space="preserve">Figure. </w:t>
      </w:r>
      <w:r w:rsidRPr="006827C3">
        <w:rPr>
          <w:rFonts w:ascii="Tw Cen MT Condensed" w:hAnsi="Tw Cen MT Condensed" w:cs="Times New Roman"/>
          <w:b/>
          <w:color w:val="auto"/>
          <w:sz w:val="24"/>
          <w:szCs w:val="24"/>
        </w:rPr>
        <w:t>1</w:t>
      </w:r>
      <w:r w:rsidRPr="006827C3">
        <w:rPr>
          <w:rFonts w:ascii="Tw Cen MT Condensed" w:hAnsi="Tw Cen MT Condensed" w:cs="Times New Roman"/>
          <w:b/>
          <w:color w:val="auto"/>
          <w:sz w:val="24"/>
          <w:szCs w:val="24"/>
        </w:rPr>
        <w:t>. General flowchart of a typical metabolomics experiment in a cancer study (</w:t>
      </w:r>
      <w:r w:rsidRPr="006827C3">
        <w:rPr>
          <w:rFonts w:ascii="Tw Cen MT Condensed" w:hAnsi="Tw Cen MT Condensed" w:cs="Times New Roman"/>
          <w:b/>
          <w:color w:val="212121"/>
          <w:sz w:val="24"/>
          <w:szCs w:val="24"/>
          <w:shd w:val="clear" w:color="auto" w:fill="FFFFFF"/>
        </w:rPr>
        <w:t>Beger, 2013</w:t>
      </w:r>
      <w:r w:rsidRPr="006827C3">
        <w:rPr>
          <w:rFonts w:ascii="Tw Cen MT Condensed" w:hAnsi="Tw Cen MT Condensed" w:cs="Times New Roman"/>
          <w:b/>
          <w:color w:val="auto"/>
          <w:sz w:val="24"/>
          <w:szCs w:val="24"/>
        </w:rPr>
        <w:t>)</w:t>
      </w:r>
    </w:p>
    <w:p w:rsidR="006827C3" w:rsidRPr="006827C3" w:rsidRDefault="006827C3" w:rsidP="00A83D1B">
      <w:pPr>
        <w:spacing w:after="0" w:line="360" w:lineRule="auto"/>
        <w:jc w:val="both"/>
        <w:rPr>
          <w:rFonts w:ascii="Tw Cen MT Condensed" w:hAnsi="Tw Cen MT Condensed" w:cs="Times New Roman"/>
          <w:b/>
          <w:bCs/>
          <w:color w:val="30849B"/>
          <w:sz w:val="28"/>
          <w:szCs w:val="28"/>
        </w:rPr>
      </w:pPr>
      <w:r w:rsidRPr="006827C3">
        <w:rPr>
          <w:rFonts w:ascii="Tw Cen MT Condensed" w:hAnsi="Tw Cen MT Condensed" w:cs="Times New Roman"/>
          <w:b/>
          <w:bCs/>
          <w:color w:val="30849B"/>
          <w:sz w:val="28"/>
          <w:szCs w:val="28"/>
        </w:rPr>
        <w:t>PUBLICATIONS</w:t>
      </w:r>
    </w:p>
    <w:p w:rsidR="006827C3" w:rsidRPr="006827C3" w:rsidRDefault="006827C3" w:rsidP="003B70F0">
      <w:pPr>
        <w:pStyle w:val="ListParagraph"/>
        <w:numPr>
          <w:ilvl w:val="0"/>
          <w:numId w:val="2"/>
        </w:numPr>
        <w:spacing w:after="0" w:line="360" w:lineRule="auto"/>
        <w:jc w:val="both"/>
        <w:rPr>
          <w:rFonts w:ascii="Tw Cen MT Condensed" w:hAnsi="Tw Cen MT Condensed" w:cs="Times New Roman"/>
          <w:bCs/>
          <w:sz w:val="24"/>
          <w:szCs w:val="28"/>
        </w:rPr>
      </w:pPr>
      <w:r w:rsidRPr="006827C3">
        <w:rPr>
          <w:rFonts w:ascii="Tw Cen MT Condensed" w:hAnsi="Tw Cen MT Condensed" w:cs="Times New Roman"/>
          <w:sz w:val="24"/>
          <w:szCs w:val="24"/>
        </w:rPr>
        <w:t xml:space="preserve">Tebeje A, </w:t>
      </w:r>
      <w:proofErr w:type="spellStart"/>
      <w:r w:rsidRPr="006827C3">
        <w:rPr>
          <w:rFonts w:ascii="Tw Cen MT Condensed" w:hAnsi="Tw Cen MT Condensed" w:cs="Times New Roman"/>
          <w:sz w:val="24"/>
          <w:szCs w:val="24"/>
        </w:rPr>
        <w:t>Tadesse</w:t>
      </w:r>
      <w:proofErr w:type="spellEnd"/>
      <w:r w:rsidRPr="006827C3">
        <w:rPr>
          <w:rFonts w:ascii="Tw Cen MT Condensed" w:hAnsi="Tw Cen MT Condensed" w:cs="Times New Roman"/>
          <w:sz w:val="24"/>
          <w:szCs w:val="24"/>
        </w:rPr>
        <w:t xml:space="preserve"> H, </w:t>
      </w:r>
      <w:proofErr w:type="spellStart"/>
      <w:r w:rsidRPr="006827C3">
        <w:rPr>
          <w:rFonts w:ascii="Tw Cen MT Condensed" w:hAnsi="Tw Cen MT Condensed" w:cs="Times New Roman"/>
          <w:sz w:val="24"/>
          <w:szCs w:val="24"/>
        </w:rPr>
        <w:t>Mengesha</w:t>
      </w:r>
      <w:proofErr w:type="spellEnd"/>
      <w:r w:rsidRPr="006827C3">
        <w:rPr>
          <w:rFonts w:ascii="Tw Cen MT Condensed" w:hAnsi="Tw Cen MT Condensed" w:cs="Times New Roman"/>
          <w:sz w:val="24"/>
          <w:szCs w:val="24"/>
        </w:rPr>
        <w:t xml:space="preserve"> Y. Synthetic bio/techno/logy and its application. Biotechnology &amp; Biotechnological Equipment. 2021 Jan 1</w:t>
      </w:r>
      <w:proofErr w:type="gramStart"/>
      <w:r w:rsidRPr="006827C3">
        <w:rPr>
          <w:rFonts w:ascii="Tw Cen MT Condensed" w:hAnsi="Tw Cen MT Condensed" w:cs="Times New Roman"/>
          <w:sz w:val="24"/>
          <w:szCs w:val="24"/>
        </w:rPr>
        <w:t>;35</w:t>
      </w:r>
      <w:proofErr w:type="gramEnd"/>
      <w:r w:rsidRPr="006827C3">
        <w:rPr>
          <w:rFonts w:ascii="Tw Cen MT Condensed" w:hAnsi="Tw Cen MT Condensed" w:cs="Times New Roman"/>
          <w:sz w:val="24"/>
          <w:szCs w:val="24"/>
        </w:rPr>
        <w:t>(1):1156-62.</w:t>
      </w:r>
    </w:p>
    <w:p w:rsidR="006827C3" w:rsidRPr="006827C3" w:rsidRDefault="006827C3" w:rsidP="00580346">
      <w:pPr>
        <w:pStyle w:val="ListParagraph"/>
        <w:numPr>
          <w:ilvl w:val="0"/>
          <w:numId w:val="2"/>
        </w:numPr>
        <w:spacing w:after="0" w:line="360" w:lineRule="auto"/>
        <w:jc w:val="both"/>
        <w:rPr>
          <w:rFonts w:ascii="Tw Cen MT Condensed" w:hAnsi="Tw Cen MT Condensed" w:cs="Times New Roman"/>
          <w:sz w:val="24"/>
          <w:szCs w:val="24"/>
        </w:rPr>
      </w:pPr>
      <w:r w:rsidRPr="006827C3">
        <w:rPr>
          <w:rFonts w:ascii="Tw Cen MT Condensed" w:hAnsi="Tw Cen MT Condensed" w:cs="Times New Roman"/>
          <w:bCs/>
          <w:sz w:val="24"/>
          <w:szCs w:val="28"/>
        </w:rPr>
        <w:t xml:space="preserve">Tebeje A, </w:t>
      </w:r>
      <w:proofErr w:type="spellStart"/>
      <w:r w:rsidRPr="006827C3">
        <w:rPr>
          <w:rFonts w:ascii="Tw Cen MT Condensed" w:hAnsi="Tw Cen MT Condensed" w:cs="Times New Roman"/>
          <w:bCs/>
          <w:sz w:val="24"/>
          <w:szCs w:val="28"/>
        </w:rPr>
        <w:t>Bantte</w:t>
      </w:r>
      <w:proofErr w:type="spellEnd"/>
      <w:r w:rsidRPr="006827C3">
        <w:rPr>
          <w:rFonts w:ascii="Tw Cen MT Condensed" w:hAnsi="Tw Cen MT Condensed" w:cs="Times New Roman"/>
          <w:bCs/>
          <w:sz w:val="24"/>
          <w:szCs w:val="28"/>
        </w:rPr>
        <w:t xml:space="preserve"> K, </w:t>
      </w:r>
      <w:proofErr w:type="spellStart"/>
      <w:r w:rsidRPr="006827C3">
        <w:rPr>
          <w:rFonts w:ascii="Tw Cen MT Condensed" w:hAnsi="Tw Cen MT Condensed" w:cs="Times New Roman"/>
          <w:bCs/>
          <w:sz w:val="24"/>
          <w:szCs w:val="28"/>
        </w:rPr>
        <w:t>Matiwos</w:t>
      </w:r>
      <w:proofErr w:type="spellEnd"/>
      <w:r w:rsidRPr="006827C3">
        <w:rPr>
          <w:rFonts w:ascii="Tw Cen MT Condensed" w:hAnsi="Tw Cen MT Condensed" w:cs="Times New Roman"/>
          <w:bCs/>
          <w:sz w:val="24"/>
          <w:szCs w:val="28"/>
        </w:rPr>
        <w:t xml:space="preserve"> T, </w:t>
      </w:r>
      <w:proofErr w:type="spellStart"/>
      <w:r w:rsidRPr="006827C3">
        <w:rPr>
          <w:rFonts w:ascii="Tw Cen MT Condensed" w:hAnsi="Tw Cen MT Condensed" w:cs="Times New Roman"/>
          <w:bCs/>
          <w:sz w:val="24"/>
          <w:szCs w:val="28"/>
        </w:rPr>
        <w:t>Borrell</w:t>
      </w:r>
      <w:proofErr w:type="spellEnd"/>
      <w:r w:rsidRPr="006827C3">
        <w:rPr>
          <w:rFonts w:ascii="Tw Cen MT Condensed" w:hAnsi="Tw Cen MT Condensed" w:cs="Times New Roman"/>
          <w:bCs/>
          <w:sz w:val="24"/>
          <w:szCs w:val="28"/>
        </w:rPr>
        <w:t xml:space="preserve"> A. Characterization and association mapping for drought adaptation in Ethiopian sorghum (Sorghum bicolor (L.) </w:t>
      </w:r>
      <w:proofErr w:type="spellStart"/>
      <w:r w:rsidRPr="006827C3">
        <w:rPr>
          <w:rFonts w:ascii="Tw Cen MT Condensed" w:hAnsi="Tw Cen MT Condensed" w:cs="Times New Roman"/>
          <w:bCs/>
          <w:sz w:val="24"/>
          <w:szCs w:val="28"/>
        </w:rPr>
        <w:t>Moench</w:t>
      </w:r>
      <w:proofErr w:type="spellEnd"/>
      <w:r w:rsidRPr="006827C3">
        <w:rPr>
          <w:rFonts w:ascii="Tw Cen MT Condensed" w:hAnsi="Tw Cen MT Condensed" w:cs="Times New Roman"/>
          <w:bCs/>
          <w:sz w:val="24"/>
          <w:szCs w:val="28"/>
        </w:rPr>
        <w:t xml:space="preserve">) germplasm. </w:t>
      </w:r>
      <w:proofErr w:type="spellStart"/>
      <w:r w:rsidRPr="006827C3">
        <w:rPr>
          <w:rFonts w:ascii="Tw Cen MT Condensed" w:hAnsi="Tw Cen MT Condensed" w:cs="Times New Roman"/>
          <w:bCs/>
          <w:sz w:val="24"/>
          <w:szCs w:val="28"/>
        </w:rPr>
        <w:t>Vegetos</w:t>
      </w:r>
      <w:proofErr w:type="spellEnd"/>
      <w:r w:rsidRPr="006827C3">
        <w:rPr>
          <w:rFonts w:ascii="Tw Cen MT Condensed" w:hAnsi="Tw Cen MT Condensed" w:cs="Times New Roman"/>
          <w:bCs/>
          <w:sz w:val="24"/>
          <w:szCs w:val="28"/>
        </w:rPr>
        <w:t>. 2020 Dec</w:t>
      </w:r>
      <w:proofErr w:type="gramStart"/>
      <w:r w:rsidRPr="006827C3">
        <w:rPr>
          <w:rFonts w:ascii="Tw Cen MT Condensed" w:hAnsi="Tw Cen MT Condensed" w:cs="Times New Roman"/>
          <w:bCs/>
          <w:sz w:val="24"/>
          <w:szCs w:val="28"/>
        </w:rPr>
        <w:t>;33</w:t>
      </w:r>
      <w:proofErr w:type="gramEnd"/>
      <w:r w:rsidRPr="006827C3">
        <w:rPr>
          <w:rFonts w:ascii="Tw Cen MT Condensed" w:hAnsi="Tw Cen MT Condensed" w:cs="Times New Roman"/>
          <w:bCs/>
          <w:sz w:val="24"/>
          <w:szCs w:val="28"/>
        </w:rPr>
        <w:t>(4):722-43.</w:t>
      </w:r>
    </w:p>
    <w:p w:rsidR="006827C3" w:rsidRPr="006827C3" w:rsidRDefault="006827C3" w:rsidP="00A81AC7">
      <w:pPr>
        <w:pStyle w:val="ListParagraph"/>
        <w:numPr>
          <w:ilvl w:val="0"/>
          <w:numId w:val="2"/>
        </w:numPr>
        <w:spacing w:after="0" w:line="360" w:lineRule="auto"/>
        <w:jc w:val="both"/>
        <w:rPr>
          <w:rFonts w:ascii="Tw Cen MT Condensed" w:hAnsi="Tw Cen MT Condensed" w:cs="Times New Roman"/>
          <w:color w:val="222222"/>
          <w:sz w:val="24"/>
          <w:szCs w:val="24"/>
          <w:shd w:val="clear" w:color="auto" w:fill="FFFFFF"/>
        </w:rPr>
      </w:pPr>
      <w:r w:rsidRPr="006827C3">
        <w:rPr>
          <w:rFonts w:ascii="Tw Cen MT Condensed" w:hAnsi="Tw Cen MT Condensed" w:cs="Times New Roman"/>
          <w:bCs/>
          <w:sz w:val="24"/>
          <w:szCs w:val="28"/>
        </w:rPr>
        <w:t xml:space="preserve">Tebeje </w:t>
      </w:r>
      <w:proofErr w:type="gramStart"/>
      <w:r w:rsidRPr="006827C3">
        <w:rPr>
          <w:rFonts w:ascii="Tw Cen MT Condensed" w:hAnsi="Tw Cen MT Condensed" w:cs="Times New Roman"/>
          <w:bCs/>
          <w:sz w:val="24"/>
          <w:szCs w:val="28"/>
        </w:rPr>
        <w:t>A ,</w:t>
      </w:r>
      <w:proofErr w:type="gramEnd"/>
      <w:r w:rsidRPr="006827C3">
        <w:rPr>
          <w:rFonts w:ascii="Tw Cen MT Condensed" w:hAnsi="Tw Cen MT Condensed" w:cs="Times New Roman"/>
          <w:bCs/>
          <w:sz w:val="24"/>
          <w:szCs w:val="28"/>
        </w:rPr>
        <w:t xml:space="preserve"> </w:t>
      </w:r>
      <w:proofErr w:type="spellStart"/>
      <w:r w:rsidRPr="006827C3">
        <w:rPr>
          <w:rFonts w:ascii="Tw Cen MT Condensed" w:hAnsi="Tw Cen MT Condensed" w:cs="Times New Roman"/>
          <w:bCs/>
          <w:sz w:val="24"/>
          <w:szCs w:val="28"/>
        </w:rPr>
        <w:t>Getachew</w:t>
      </w:r>
      <w:proofErr w:type="spellEnd"/>
      <w:r w:rsidRPr="006827C3">
        <w:rPr>
          <w:rFonts w:ascii="Tw Cen MT Condensed" w:hAnsi="Tw Cen MT Condensed" w:cs="Times New Roman"/>
          <w:bCs/>
          <w:sz w:val="24"/>
          <w:szCs w:val="28"/>
        </w:rPr>
        <w:t xml:space="preserve"> K and </w:t>
      </w:r>
      <w:proofErr w:type="spellStart"/>
      <w:r w:rsidRPr="006827C3">
        <w:rPr>
          <w:rFonts w:ascii="Tw Cen MT Condensed" w:hAnsi="Tw Cen MT Condensed" w:cs="Times New Roman"/>
          <w:bCs/>
          <w:sz w:val="24"/>
          <w:szCs w:val="28"/>
        </w:rPr>
        <w:t>Dagnaw</w:t>
      </w:r>
      <w:proofErr w:type="spellEnd"/>
      <w:r w:rsidRPr="006827C3">
        <w:rPr>
          <w:rFonts w:ascii="Tw Cen MT Condensed" w:hAnsi="Tw Cen MT Condensed" w:cs="Times New Roman"/>
          <w:bCs/>
          <w:sz w:val="24"/>
          <w:szCs w:val="28"/>
        </w:rPr>
        <w:t xml:space="preserve"> M (2020). ANTIBACTERIAL ACTIVITIES OF THE LEAF EXTRACT OF DATURA STRAMONIUM LINN.</w:t>
      </w:r>
      <w:r w:rsidRPr="006827C3">
        <w:rPr>
          <w:rFonts w:ascii="Tw Cen MT Condensed" w:hAnsi="Tw Cen MT Condensed" w:cs="Times New Roman"/>
          <w:sz w:val="24"/>
          <w:szCs w:val="24"/>
        </w:rPr>
        <w:t xml:space="preserve"> International Journal of Pharmaceutical Sciences and Research: DOI: 10.21276/IJIPSR.2020.08.11.911</w:t>
      </w:r>
    </w:p>
    <w:p w:rsidR="006827C3" w:rsidRPr="006827C3" w:rsidRDefault="006827C3" w:rsidP="00755BA2">
      <w:pPr>
        <w:pStyle w:val="ListParagraph"/>
        <w:numPr>
          <w:ilvl w:val="0"/>
          <w:numId w:val="2"/>
        </w:numPr>
        <w:spacing w:after="0" w:line="360" w:lineRule="auto"/>
        <w:jc w:val="both"/>
        <w:rPr>
          <w:rFonts w:ascii="Tw Cen MT Condensed" w:hAnsi="Tw Cen MT Condensed" w:cs="Times New Roman"/>
          <w:color w:val="222222"/>
          <w:sz w:val="24"/>
          <w:szCs w:val="24"/>
          <w:shd w:val="clear" w:color="auto" w:fill="FFFFFF"/>
        </w:rPr>
      </w:pPr>
      <w:proofErr w:type="spellStart"/>
      <w:r w:rsidRPr="006827C3">
        <w:rPr>
          <w:rFonts w:ascii="Tw Cen MT Condensed" w:hAnsi="Tw Cen MT Condensed" w:cs="Times New Roman"/>
          <w:color w:val="222222"/>
          <w:sz w:val="24"/>
          <w:szCs w:val="24"/>
          <w:shd w:val="clear" w:color="auto" w:fill="FFFFFF"/>
        </w:rPr>
        <w:t>Dagnaw</w:t>
      </w:r>
      <w:proofErr w:type="spellEnd"/>
      <w:r w:rsidRPr="006827C3">
        <w:rPr>
          <w:rFonts w:ascii="Tw Cen MT Condensed" w:hAnsi="Tw Cen MT Condensed" w:cs="Times New Roman"/>
          <w:color w:val="222222"/>
          <w:sz w:val="24"/>
          <w:szCs w:val="24"/>
          <w:shd w:val="clear" w:color="auto" w:fill="FFFFFF"/>
        </w:rPr>
        <w:t xml:space="preserve">, M., </w:t>
      </w:r>
      <w:proofErr w:type="spellStart"/>
      <w:r w:rsidRPr="006827C3">
        <w:rPr>
          <w:rFonts w:ascii="Tw Cen MT Condensed" w:hAnsi="Tw Cen MT Condensed" w:cs="Times New Roman"/>
          <w:color w:val="222222"/>
          <w:sz w:val="24"/>
          <w:szCs w:val="24"/>
          <w:shd w:val="clear" w:color="auto" w:fill="FFFFFF"/>
        </w:rPr>
        <w:t>Andualem</w:t>
      </w:r>
      <w:proofErr w:type="spellEnd"/>
      <w:r w:rsidRPr="006827C3">
        <w:rPr>
          <w:rFonts w:ascii="Tw Cen MT Condensed" w:hAnsi="Tw Cen MT Condensed" w:cs="Times New Roman"/>
          <w:color w:val="222222"/>
          <w:sz w:val="24"/>
          <w:szCs w:val="24"/>
          <w:shd w:val="clear" w:color="auto" w:fill="FFFFFF"/>
        </w:rPr>
        <w:t xml:space="preserve">, B., Indracanti, M., &amp; Tebeje, A. (2019). Solid State Fermentation Of </w:t>
      </w:r>
      <w:proofErr w:type="spellStart"/>
      <w:r w:rsidRPr="006827C3">
        <w:rPr>
          <w:rFonts w:ascii="Tw Cen MT Condensed" w:hAnsi="Tw Cen MT Condensed" w:cs="Times New Roman"/>
          <w:color w:val="222222"/>
          <w:sz w:val="24"/>
          <w:szCs w:val="24"/>
          <w:shd w:val="clear" w:color="auto" w:fill="FFFFFF"/>
        </w:rPr>
        <w:t>Keratinolytic</w:t>
      </w:r>
      <w:proofErr w:type="spellEnd"/>
      <w:r w:rsidRPr="006827C3">
        <w:rPr>
          <w:rFonts w:ascii="Tw Cen MT Condensed" w:hAnsi="Tw Cen MT Condensed" w:cs="Times New Roman"/>
          <w:color w:val="222222"/>
          <w:sz w:val="24"/>
          <w:szCs w:val="24"/>
          <w:shd w:val="clear" w:color="auto" w:fill="FFFFFF"/>
        </w:rPr>
        <w:t xml:space="preserve"> Protease Production Using Bacillus </w:t>
      </w:r>
      <w:proofErr w:type="spellStart"/>
      <w:r w:rsidRPr="006827C3">
        <w:rPr>
          <w:rFonts w:ascii="Tw Cen MT Condensed" w:hAnsi="Tw Cen MT Condensed" w:cs="Times New Roman"/>
          <w:color w:val="222222"/>
          <w:sz w:val="24"/>
          <w:szCs w:val="24"/>
          <w:shd w:val="clear" w:color="auto" w:fill="FFFFFF"/>
        </w:rPr>
        <w:t>Spp</w:t>
      </w:r>
      <w:proofErr w:type="spellEnd"/>
      <w:r w:rsidRPr="006827C3">
        <w:rPr>
          <w:rFonts w:ascii="Tw Cen MT Condensed" w:hAnsi="Tw Cen MT Condensed" w:cs="Times New Roman"/>
          <w:color w:val="222222"/>
          <w:sz w:val="24"/>
          <w:szCs w:val="24"/>
          <w:shd w:val="clear" w:color="auto" w:fill="FFFFFF"/>
        </w:rPr>
        <w:t xml:space="preserve"> Isolated From Water Of Leather Processing Ponds In North Gondar, Ethiopia.</w:t>
      </w:r>
    </w:p>
    <w:p w:rsidR="00A83D1B" w:rsidRDefault="006827C3" w:rsidP="00A937A6">
      <w:pPr>
        <w:pStyle w:val="ListParagraph"/>
        <w:numPr>
          <w:ilvl w:val="0"/>
          <w:numId w:val="2"/>
        </w:numPr>
        <w:shd w:val="clear" w:color="auto" w:fill="FFFFFF"/>
        <w:spacing w:after="0" w:line="360" w:lineRule="auto"/>
        <w:jc w:val="both"/>
      </w:pPr>
      <w:r w:rsidRPr="006827C3">
        <w:rPr>
          <w:rFonts w:ascii="Tw Cen MT Condensed" w:hAnsi="Tw Cen MT Condensed" w:cs="Times New Roman"/>
          <w:sz w:val="24"/>
          <w:szCs w:val="24"/>
        </w:rPr>
        <w:t xml:space="preserve">Tebeje Alemu and </w:t>
      </w:r>
      <w:proofErr w:type="spellStart"/>
      <w:r w:rsidRPr="006827C3">
        <w:rPr>
          <w:rFonts w:ascii="Tw Cen MT Condensed" w:hAnsi="Tw Cen MT Condensed" w:cs="Times New Roman"/>
          <w:sz w:val="24"/>
          <w:szCs w:val="24"/>
        </w:rPr>
        <w:t>Zemene</w:t>
      </w:r>
      <w:proofErr w:type="spellEnd"/>
      <w:r w:rsidRPr="006827C3">
        <w:rPr>
          <w:rFonts w:ascii="Tw Cen MT Condensed" w:hAnsi="Tw Cen MT Condensed" w:cs="Times New Roman"/>
          <w:sz w:val="24"/>
          <w:szCs w:val="24"/>
        </w:rPr>
        <w:t xml:space="preserve"> </w:t>
      </w:r>
      <w:proofErr w:type="spellStart"/>
      <w:r w:rsidRPr="006827C3">
        <w:rPr>
          <w:rFonts w:ascii="Tw Cen MT Condensed" w:hAnsi="Tw Cen MT Condensed" w:cs="Times New Roman"/>
          <w:sz w:val="24"/>
          <w:szCs w:val="24"/>
        </w:rPr>
        <w:t>Aragaw</w:t>
      </w:r>
      <w:proofErr w:type="spellEnd"/>
      <w:r w:rsidRPr="006827C3">
        <w:rPr>
          <w:rFonts w:ascii="Tw Cen MT Condensed" w:hAnsi="Tw Cen MT Condensed" w:cs="Times New Roman"/>
          <w:sz w:val="24"/>
          <w:szCs w:val="24"/>
        </w:rPr>
        <w:t xml:space="preserve"> (2018). Application of pooled DNA sequencing technology for the study of population genomics in crop improvement program. International Journal of Pharmaceutical Sciences and Research. DOI:10.21276/IJIPSR.2018.06.03.659</w:t>
      </w:r>
      <w:bookmarkStart w:id="3" w:name="_GoBack"/>
      <w:bookmarkEnd w:id="3"/>
    </w:p>
    <w:sectPr w:rsidR="00A83D1B" w:rsidSect="00775E08">
      <w:pgSz w:w="11906" w:h="16838" w:code="9"/>
      <w:pgMar w:top="1354" w:right="418" w:bottom="878" w:left="418" w:header="0" w:footer="691"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Condensed">
    <w:panose1 w:val="020B06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7B1F2E"/>
    <w:multiLevelType w:val="hybridMultilevel"/>
    <w:tmpl w:val="AE907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9C6A7E"/>
    <w:multiLevelType w:val="hybridMultilevel"/>
    <w:tmpl w:val="973208B8"/>
    <w:lvl w:ilvl="0" w:tplc="67EEB21E">
      <w:start w:val="1"/>
      <w:numFmt w:val="decimal"/>
      <w:lvlText w:val="%1."/>
      <w:lvlJc w:val="left"/>
      <w:pPr>
        <w:ind w:left="720" w:hanging="360"/>
      </w:pPr>
      <w:rPr>
        <w:rFonts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EE4"/>
    <w:rsid w:val="00657EE4"/>
    <w:rsid w:val="006827C3"/>
    <w:rsid w:val="00775E08"/>
    <w:rsid w:val="00A83D1B"/>
    <w:rsid w:val="00C32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0D9DD"/>
  <w15:chartTrackingRefBased/>
  <w15:docId w15:val="{F7FDC4C4-17DF-46E4-B971-8E617B61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EE4"/>
    <w:pPr>
      <w:widowControl w:val="0"/>
      <w:suppressAutoHyphens/>
      <w:spacing w:after="200" w:line="276" w:lineRule="auto"/>
    </w:pPr>
    <w:rPr>
      <w:rFonts w:ascii="Calibri" w:eastAsia="Calibri" w:hAnsi="Calibri" w:cs="Calibri"/>
      <w:color w:val="00000A"/>
      <w:lang w:eastAsia="zh-CN" w:bidi="hi-IN"/>
    </w:rPr>
  </w:style>
  <w:style w:type="paragraph" w:styleId="Heading1">
    <w:name w:val="heading 1"/>
    <w:basedOn w:val="Normal"/>
    <w:link w:val="Heading1Char"/>
    <w:qFormat/>
    <w:rsid w:val="00657EE4"/>
    <w:pPr>
      <w:keepNext/>
      <w:keepLines/>
      <w:spacing w:before="480" w:after="0" w:line="100" w:lineRule="atLeast"/>
      <w:outlineLvl w:val="0"/>
    </w:pPr>
    <w:rPr>
      <w:rFonts w:ascii="Cambria" w:eastAsia="Cambria" w:hAnsi="Cambria" w:cs="Cambria"/>
      <w:b/>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7EE4"/>
    <w:rPr>
      <w:rFonts w:ascii="Cambria" w:eastAsia="Cambria" w:hAnsi="Cambria" w:cs="Cambria"/>
      <w:b/>
      <w:color w:val="365F91"/>
      <w:sz w:val="28"/>
      <w:szCs w:val="28"/>
      <w:lang w:eastAsia="zh-CN" w:bidi="hi-IN"/>
    </w:rPr>
  </w:style>
  <w:style w:type="paragraph" w:styleId="NormalWeb">
    <w:name w:val="Normal (Web)"/>
    <w:basedOn w:val="Normal"/>
    <w:uiPriority w:val="99"/>
    <w:unhideWhenUsed/>
    <w:rsid w:val="00657EE4"/>
    <w:pPr>
      <w:widowControl/>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US" w:bidi="ar-SA"/>
    </w:rPr>
  </w:style>
  <w:style w:type="table" w:styleId="TableGrid">
    <w:name w:val="Table Grid"/>
    <w:basedOn w:val="TableNormal"/>
    <w:uiPriority w:val="39"/>
    <w:rsid w:val="00A8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3D1B"/>
    <w:pPr>
      <w:widowControl/>
      <w:suppressAutoHyphens w:val="0"/>
      <w:spacing w:after="160" w:line="259" w:lineRule="auto"/>
      <w:ind w:left="720"/>
      <w:contextualSpacing/>
    </w:pPr>
    <w:rPr>
      <w:rFonts w:asciiTheme="minorHAnsi" w:eastAsiaTheme="minorHAnsi" w:hAnsiTheme="minorHAnsi" w:cstheme="minorBidi"/>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Alemu Tebeje</dc:creator>
  <cp:keywords/>
  <dc:description/>
  <cp:lastModifiedBy>Alemu Tebeje</cp:lastModifiedBy>
  <cp:revision>1</cp:revision>
  <dcterms:created xsi:type="dcterms:W3CDTF">2021-12-31T13:15:00Z</dcterms:created>
  <dcterms:modified xsi:type="dcterms:W3CDTF">2021-12-31T13:45:00Z</dcterms:modified>
</cp:coreProperties>
</file>