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C79" w:rsidRPr="00BF6223" w:rsidRDefault="007E1C79" w:rsidP="007E1C79">
      <w:pPr>
        <w:pageBreakBefore/>
        <w:suppressAutoHyphens w:val="0"/>
        <w:rPr>
          <w:rFonts w:ascii="Arial" w:hAnsi="Arial" w:cs="Arial"/>
          <w:b/>
          <w:bCs/>
          <w:color w:val="000000"/>
        </w:rPr>
      </w:pPr>
    </w:p>
    <w:p w:rsidR="007E1C79" w:rsidRPr="007E1C79" w:rsidRDefault="007E1C79" w:rsidP="007E1C79">
      <w:pPr>
        <w:pStyle w:val="Standard"/>
        <w:spacing w:before="240" w:after="120" w:line="360" w:lineRule="auto"/>
        <w:jc w:val="both"/>
        <w:rPr>
          <w:rFonts w:ascii="Times New Roman" w:hAnsi="Times New Roman" w:cs="Times New Roman"/>
          <w:b/>
          <w:bCs/>
          <w:color w:val="000000"/>
        </w:rPr>
      </w:pPr>
      <w:r w:rsidRPr="007E1C79">
        <w:rPr>
          <w:rFonts w:ascii="Times New Roman" w:hAnsi="Times New Roman" w:cs="Times New Roman"/>
          <w:b/>
          <w:bCs/>
          <w:color w:val="000000"/>
        </w:rPr>
        <w:t>ABSTRACT</w:t>
      </w:r>
      <w:bookmarkStart w:id="0" w:name="_GoBack"/>
      <w:bookmarkEnd w:id="0"/>
    </w:p>
    <w:p w:rsidR="007E1C79" w:rsidRPr="007E1C79" w:rsidRDefault="007E1C79" w:rsidP="007E1C79">
      <w:pPr>
        <w:pStyle w:val="Standard"/>
        <w:spacing w:before="240" w:after="120" w:line="360" w:lineRule="auto"/>
        <w:jc w:val="both"/>
        <w:rPr>
          <w:rFonts w:ascii="Times New Roman" w:hAnsi="Times New Roman" w:cs="Times New Roman"/>
          <w:b/>
          <w:bCs/>
          <w:color w:val="000000"/>
        </w:rPr>
      </w:pPr>
      <w:r w:rsidRPr="007E1C79">
        <w:rPr>
          <w:rFonts w:ascii="Times New Roman" w:hAnsi="Times New Roman" w:cs="Times New Roman"/>
          <w:color w:val="000000"/>
        </w:rPr>
        <w:t>SARS-CoV-2, a new coronavirus strain, emerged from Wuhan, China in late 2019 posed a devastating threat to human causing a world pandemic in a few months. After the Second world war, it is the biggest calamity as no specific and US Food and Drugs Administration (USFDA)-approved drug or vaccine is available globally for the treatment of human coronaviruses, although several clinical trials are ongoing for therapeutic alternatives. As time is crucial in current pandemic, drug repurposing and data obtained from in silico models are one of the most important approach to identify possible lead compound inhibitors of SARS-CoV-2. Direct-acting antivirals (DAAs) are the most promising tools to control viral infections. Main protease (</w:t>
      </w:r>
      <w:proofErr w:type="spellStart"/>
      <w:r w:rsidRPr="007E1C79">
        <w:rPr>
          <w:rFonts w:ascii="Times New Roman" w:hAnsi="Times New Roman" w:cs="Times New Roman"/>
          <w:color w:val="000000"/>
        </w:rPr>
        <w:t>Mpro</w:t>
      </w:r>
      <w:proofErr w:type="spellEnd"/>
      <w:r w:rsidRPr="007E1C79">
        <w:rPr>
          <w:rFonts w:ascii="Times New Roman" w:hAnsi="Times New Roman" w:cs="Times New Roman"/>
          <w:color w:val="000000"/>
        </w:rPr>
        <w:t xml:space="preserve">), a key enzyme in the SARS-CoV-2 replication cycle sharing high homology with the HCV protease and could be susceptible to blocking its activity by DAAs. In current study we used DAAs as antivirals against </w:t>
      </w:r>
      <w:proofErr w:type="spellStart"/>
      <w:r w:rsidRPr="007E1C79">
        <w:rPr>
          <w:rFonts w:ascii="Times New Roman" w:hAnsi="Times New Roman" w:cs="Times New Roman"/>
          <w:color w:val="000000"/>
        </w:rPr>
        <w:t>Mpro</w:t>
      </w:r>
      <w:proofErr w:type="spellEnd"/>
      <w:r w:rsidRPr="007E1C79">
        <w:rPr>
          <w:rFonts w:ascii="Times New Roman" w:hAnsi="Times New Roman" w:cs="Times New Roman"/>
          <w:color w:val="000000"/>
        </w:rPr>
        <w:t xml:space="preserve"> of SARS-CoV-2 to develop new therapeutics using structure based computational approach. In total 20 DAAs of HCV, including a reference compound O6K were docked against </w:t>
      </w:r>
      <w:proofErr w:type="spellStart"/>
      <w:r w:rsidRPr="007E1C79">
        <w:rPr>
          <w:rFonts w:ascii="Times New Roman" w:hAnsi="Times New Roman" w:cs="Times New Roman"/>
          <w:color w:val="000000"/>
        </w:rPr>
        <w:t>Mpro</w:t>
      </w:r>
      <w:proofErr w:type="spellEnd"/>
      <w:r w:rsidRPr="007E1C79">
        <w:rPr>
          <w:rFonts w:ascii="Times New Roman" w:hAnsi="Times New Roman" w:cs="Times New Roman"/>
          <w:color w:val="000000"/>
        </w:rPr>
        <w:t xml:space="preserve"> using </w:t>
      </w:r>
      <w:proofErr w:type="spellStart"/>
      <w:r w:rsidRPr="007E1C79">
        <w:rPr>
          <w:rFonts w:ascii="Times New Roman" w:hAnsi="Times New Roman" w:cs="Times New Roman"/>
          <w:color w:val="000000"/>
        </w:rPr>
        <w:t>AutoDock</w:t>
      </w:r>
      <w:proofErr w:type="spellEnd"/>
      <w:r w:rsidRPr="007E1C79">
        <w:rPr>
          <w:rFonts w:ascii="Times New Roman" w:hAnsi="Times New Roman" w:cs="Times New Roman"/>
          <w:color w:val="000000"/>
        </w:rPr>
        <w:t xml:space="preserve"> tool. The docking analysis resulted in the identification of six highly docked DAAs i.e. </w:t>
      </w:r>
      <w:proofErr w:type="spellStart"/>
      <w:r w:rsidRPr="007E1C79">
        <w:rPr>
          <w:rFonts w:ascii="Times New Roman" w:hAnsi="Times New Roman" w:cs="Times New Roman"/>
          <w:color w:val="000000"/>
        </w:rPr>
        <w:t>beclabuvir</w:t>
      </w:r>
      <w:proofErr w:type="spellEnd"/>
      <w:r w:rsidRPr="007E1C79">
        <w:rPr>
          <w:rFonts w:ascii="Times New Roman" w:hAnsi="Times New Roman" w:cs="Times New Roman"/>
          <w:color w:val="000000"/>
        </w:rPr>
        <w:t xml:space="preserve">, </w:t>
      </w:r>
      <w:proofErr w:type="spellStart"/>
      <w:r w:rsidRPr="007E1C79">
        <w:rPr>
          <w:rFonts w:ascii="Times New Roman" w:hAnsi="Times New Roman" w:cs="Times New Roman"/>
          <w:color w:val="000000"/>
        </w:rPr>
        <w:t>elbasvir</w:t>
      </w:r>
      <w:proofErr w:type="spellEnd"/>
      <w:r w:rsidRPr="007E1C79">
        <w:rPr>
          <w:rFonts w:ascii="Times New Roman" w:hAnsi="Times New Roman" w:cs="Times New Roman"/>
          <w:color w:val="000000"/>
        </w:rPr>
        <w:t xml:space="preserve">, </w:t>
      </w:r>
      <w:proofErr w:type="spellStart"/>
      <w:r w:rsidRPr="007E1C79">
        <w:rPr>
          <w:rFonts w:ascii="Times New Roman" w:hAnsi="Times New Roman" w:cs="Times New Roman"/>
          <w:color w:val="000000"/>
        </w:rPr>
        <w:t>paritaprevir</w:t>
      </w:r>
      <w:proofErr w:type="spellEnd"/>
      <w:r w:rsidRPr="007E1C79">
        <w:rPr>
          <w:rFonts w:ascii="Times New Roman" w:hAnsi="Times New Roman" w:cs="Times New Roman"/>
          <w:color w:val="000000"/>
        </w:rPr>
        <w:t xml:space="preserve">, </w:t>
      </w:r>
      <w:proofErr w:type="spellStart"/>
      <w:r w:rsidRPr="007E1C79">
        <w:rPr>
          <w:rFonts w:ascii="Times New Roman" w:hAnsi="Times New Roman" w:cs="Times New Roman"/>
          <w:color w:val="000000"/>
        </w:rPr>
        <w:t>grazoprevir</w:t>
      </w:r>
      <w:proofErr w:type="spellEnd"/>
      <w:r w:rsidRPr="007E1C79">
        <w:rPr>
          <w:rFonts w:ascii="Times New Roman" w:hAnsi="Times New Roman" w:cs="Times New Roman"/>
          <w:color w:val="000000"/>
        </w:rPr>
        <w:t xml:space="preserve">, </w:t>
      </w:r>
      <w:proofErr w:type="spellStart"/>
      <w:r w:rsidRPr="007E1C79">
        <w:rPr>
          <w:rFonts w:ascii="Times New Roman" w:hAnsi="Times New Roman" w:cs="Times New Roman"/>
          <w:color w:val="000000"/>
        </w:rPr>
        <w:t>simeprevir</w:t>
      </w:r>
      <w:proofErr w:type="spellEnd"/>
      <w:r w:rsidRPr="007E1C79">
        <w:rPr>
          <w:rFonts w:ascii="Times New Roman" w:hAnsi="Times New Roman" w:cs="Times New Roman"/>
          <w:color w:val="000000"/>
        </w:rPr>
        <w:t xml:space="preserve">, and </w:t>
      </w:r>
      <w:proofErr w:type="spellStart"/>
      <w:r w:rsidRPr="007E1C79">
        <w:rPr>
          <w:rFonts w:ascii="Times New Roman" w:hAnsi="Times New Roman" w:cs="Times New Roman"/>
          <w:color w:val="000000"/>
        </w:rPr>
        <w:t>asunapevir</w:t>
      </w:r>
      <w:proofErr w:type="spellEnd"/>
      <w:r w:rsidRPr="007E1C79">
        <w:rPr>
          <w:rFonts w:ascii="Times New Roman" w:hAnsi="Times New Roman" w:cs="Times New Roman"/>
          <w:color w:val="000000"/>
        </w:rPr>
        <w:t xml:space="preserve"> exhibiting high binding affinity to </w:t>
      </w:r>
      <w:proofErr w:type="spellStart"/>
      <w:r w:rsidRPr="007E1C79">
        <w:rPr>
          <w:rFonts w:ascii="Times New Roman" w:hAnsi="Times New Roman" w:cs="Times New Roman"/>
          <w:color w:val="000000"/>
          <w:shd w:val="clear" w:color="auto" w:fill="FCFCFC"/>
        </w:rPr>
        <w:t>Mpro</w:t>
      </w:r>
      <w:proofErr w:type="spellEnd"/>
      <w:r w:rsidRPr="007E1C79">
        <w:rPr>
          <w:rFonts w:ascii="Times New Roman" w:hAnsi="Times New Roman" w:cs="Times New Roman"/>
          <w:color w:val="000000"/>
          <w:shd w:val="clear" w:color="auto" w:fill="FCFCFC"/>
        </w:rPr>
        <w:t xml:space="preserve"> protein in comparison to other DAAs compounds. The post docking analysis identified that Cys145, Glu166, His163, Thr26, His41, and Met165 played a potential role for the binding of these DAAs in active cavity of </w:t>
      </w:r>
      <w:proofErr w:type="spellStart"/>
      <w:r w:rsidRPr="007E1C79">
        <w:rPr>
          <w:rFonts w:ascii="Times New Roman" w:hAnsi="Times New Roman" w:cs="Times New Roman"/>
          <w:color w:val="000000"/>
          <w:shd w:val="clear" w:color="auto" w:fill="FCFCFC"/>
        </w:rPr>
        <w:t>Mpro</w:t>
      </w:r>
      <w:proofErr w:type="spellEnd"/>
      <w:r w:rsidRPr="007E1C79">
        <w:rPr>
          <w:rFonts w:ascii="Times New Roman" w:hAnsi="Times New Roman" w:cs="Times New Roman"/>
          <w:color w:val="000000"/>
          <w:shd w:val="clear" w:color="auto" w:fill="FCFCFC"/>
        </w:rPr>
        <w:t>. Furthermore, the correlation between binding energies were identified against the reported ic50 for some DAAs. The correlation analysis revealed that the direct relationships between ic50 and binding energies i.e. the lower the ic50 the lower will be binding energy. Overall, the current study provides insight to combat COVID-19 using FDA-approved DAAs as promising lead optimized for drug discovery.</w:t>
      </w:r>
    </w:p>
    <w:p w:rsidR="00E14E2E" w:rsidRDefault="00E14E2E"/>
    <w:sectPr w:rsidR="00E14E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BabelStone Han">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C79"/>
    <w:rsid w:val="007E1C79"/>
    <w:rsid w:val="00E14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DCE8F6-DA26-4922-B866-5EC6066B6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C79"/>
    <w:pPr>
      <w:widowControl w:val="0"/>
      <w:suppressAutoHyphens/>
      <w:autoSpaceDN w:val="0"/>
      <w:spacing w:after="0" w:line="240" w:lineRule="auto"/>
      <w:textAlignment w:val="baseline"/>
    </w:pPr>
    <w:rPr>
      <w:rFonts w:ascii="Liberation Serif" w:eastAsia="BabelStone Han" w:hAnsi="Liberation Serif" w:cs="Droid Sans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link w:val="StandardChar"/>
    <w:rsid w:val="007E1C79"/>
    <w:pPr>
      <w:widowControl w:val="0"/>
      <w:suppressAutoHyphens/>
      <w:autoSpaceDN w:val="0"/>
      <w:spacing w:after="0" w:line="240" w:lineRule="auto"/>
      <w:textAlignment w:val="baseline"/>
    </w:pPr>
    <w:rPr>
      <w:rFonts w:ascii="Liberation Serif" w:eastAsia="BabelStone Han" w:hAnsi="Liberation Serif" w:cs="Droid Sans Devanagari"/>
      <w:kern w:val="3"/>
      <w:sz w:val="24"/>
      <w:szCs w:val="24"/>
      <w:lang w:eastAsia="zh-CN" w:bidi="hi-IN"/>
    </w:rPr>
  </w:style>
  <w:style w:type="character" w:customStyle="1" w:styleId="StandardChar">
    <w:name w:val="Standard Char"/>
    <w:basedOn w:val="DefaultParagraphFont"/>
    <w:link w:val="Standard"/>
    <w:rsid w:val="007E1C79"/>
    <w:rPr>
      <w:rFonts w:ascii="Liberation Serif" w:eastAsia="BabelStone Han" w:hAnsi="Liberation Serif" w:cs="Droid Sans Devanagari"/>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1682</Characters>
  <Application>Microsoft Office Word</Application>
  <DocSecurity>0</DocSecurity>
  <Lines>14</Lines>
  <Paragraphs>3</Paragraphs>
  <ScaleCrop>false</ScaleCrop>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jalal</dc:creator>
  <cp:keywords/>
  <dc:description/>
  <cp:lastModifiedBy>jalal</cp:lastModifiedBy>
  <cp:revision>1</cp:revision>
  <dcterms:created xsi:type="dcterms:W3CDTF">2021-12-16T16:50:00Z</dcterms:created>
  <dcterms:modified xsi:type="dcterms:W3CDTF">2021-12-16T16:51:00Z</dcterms:modified>
</cp:coreProperties>
</file>