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CC1" w:rsidRPr="00B26314" w:rsidRDefault="00056CC1" w:rsidP="00046889">
      <w:pPr>
        <w:pStyle w:val="ListParagraph"/>
        <w:autoSpaceDE w:val="0"/>
        <w:autoSpaceDN w:val="0"/>
        <w:adjustRightInd w:val="0"/>
        <w:spacing w:before="240" w:after="480" w:line="360" w:lineRule="auto"/>
        <w:jc w:val="center"/>
        <w:rPr>
          <w:rFonts w:ascii="Times New Roman" w:hAnsi="Times New Roman"/>
          <w:b/>
          <w:color w:val="1C1E21"/>
          <w:sz w:val="24"/>
          <w:szCs w:val="24"/>
          <w:shd w:val="clear" w:color="auto" w:fill="FFFFFF"/>
        </w:rPr>
      </w:pPr>
      <w:r w:rsidRPr="00B26314">
        <w:rPr>
          <w:rFonts w:ascii="Times New Roman" w:hAnsi="Times New Roman"/>
          <w:b/>
          <w:color w:val="1C1E21"/>
          <w:sz w:val="24"/>
          <w:szCs w:val="24"/>
          <w:shd w:val="clear" w:color="auto" w:fill="FFFFFF"/>
        </w:rPr>
        <w:t>Author Details</w:t>
      </w:r>
    </w:p>
    <w:tbl>
      <w:tblPr>
        <w:tblStyle w:val="TableGrid"/>
        <w:tblW w:w="9548" w:type="dxa"/>
        <w:jc w:val="center"/>
        <w:tblLayout w:type="fixed"/>
        <w:tblLook w:val="04A0" w:firstRow="1" w:lastRow="0" w:firstColumn="1" w:lastColumn="0" w:noHBand="0" w:noVBand="1"/>
      </w:tblPr>
      <w:tblGrid>
        <w:gridCol w:w="1998"/>
        <w:gridCol w:w="3780"/>
        <w:gridCol w:w="3770"/>
      </w:tblGrid>
      <w:tr w:rsidR="00046889" w:rsidRPr="00056CC1" w:rsidTr="00046889">
        <w:trPr>
          <w:jc w:val="center"/>
        </w:trPr>
        <w:tc>
          <w:tcPr>
            <w:tcW w:w="1998" w:type="dxa"/>
          </w:tcPr>
          <w:p w:rsidR="00046889" w:rsidRPr="00056CC1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center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056CC1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Name</w:t>
            </w:r>
          </w:p>
        </w:tc>
        <w:tc>
          <w:tcPr>
            <w:tcW w:w="3780" w:type="dxa"/>
          </w:tcPr>
          <w:p w:rsidR="00046889" w:rsidRPr="00056CC1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center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056CC1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Affiliation and Address</w:t>
            </w:r>
          </w:p>
        </w:tc>
        <w:tc>
          <w:tcPr>
            <w:tcW w:w="3770" w:type="dxa"/>
          </w:tcPr>
          <w:p w:rsidR="00046889" w:rsidRPr="00056CC1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center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056CC1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Email</w:t>
            </w:r>
          </w:p>
        </w:tc>
      </w:tr>
      <w:tr w:rsidR="00046889" w:rsidRPr="00056CC1" w:rsidTr="00046889">
        <w:trPr>
          <w:jc w:val="center"/>
        </w:trPr>
        <w:tc>
          <w:tcPr>
            <w:tcW w:w="1998" w:type="dxa"/>
          </w:tcPr>
          <w:p w:rsidR="00046889" w:rsidRPr="00056CC1" w:rsidRDefault="00046889" w:rsidP="00C90688">
            <w:pPr>
              <w:autoSpaceDE w:val="0"/>
              <w:autoSpaceDN w:val="0"/>
              <w:adjustRightInd w:val="0"/>
              <w:spacing w:before="240" w:after="480" w:line="240" w:lineRule="auto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Ms. </w:t>
            </w:r>
            <w:r w:rsidRPr="00056C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Ruwini Cooray</w:t>
            </w:r>
          </w:p>
        </w:tc>
        <w:tc>
          <w:tcPr>
            <w:tcW w:w="3780" w:type="dxa"/>
          </w:tcPr>
          <w:p w:rsidR="00046889" w:rsidRPr="00C90688" w:rsidRDefault="00046889" w:rsidP="00C90688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Section of Genetics, Institute for Research and Development in Health and Social Care, Battaramulla, Sri Lanka</w:t>
            </w:r>
          </w:p>
        </w:tc>
        <w:tc>
          <w:tcPr>
            <w:tcW w:w="3770" w:type="dxa"/>
          </w:tcPr>
          <w:p w:rsidR="00046889" w:rsidRPr="00056CC1" w:rsidRDefault="00046889" w:rsidP="00B2631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krncooray@live.co.uk</w:t>
            </w:r>
          </w:p>
          <w:p w:rsidR="00046889" w:rsidRPr="00056CC1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both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</w:p>
        </w:tc>
      </w:tr>
      <w:tr w:rsidR="00046889" w:rsidRPr="00056CC1" w:rsidTr="00046889">
        <w:trPr>
          <w:jc w:val="center"/>
        </w:trPr>
        <w:tc>
          <w:tcPr>
            <w:tcW w:w="1998" w:type="dxa"/>
          </w:tcPr>
          <w:p w:rsidR="00046889" w:rsidRPr="00056CC1" w:rsidRDefault="00046889" w:rsidP="00C90688">
            <w:pPr>
              <w:autoSpaceDE w:val="0"/>
              <w:autoSpaceDN w:val="0"/>
              <w:adjustRightInd w:val="0"/>
              <w:spacing w:before="240" w:after="480" w:line="240" w:lineRule="auto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Mr. </w:t>
            </w:r>
            <w:r w:rsidRPr="00056C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Hasanka Madubashetha</w:t>
            </w:r>
          </w:p>
        </w:tc>
        <w:tc>
          <w:tcPr>
            <w:tcW w:w="3780" w:type="dxa"/>
          </w:tcPr>
          <w:p w:rsidR="00046889" w:rsidRPr="00056CC1" w:rsidRDefault="00046889" w:rsidP="00C90688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Section of Genetics, Institute for Research and Development in Health and Social Care, Battaramulla, Sri Lanka</w:t>
            </w:r>
          </w:p>
        </w:tc>
        <w:tc>
          <w:tcPr>
            <w:tcW w:w="3770" w:type="dxa"/>
          </w:tcPr>
          <w:p w:rsidR="00046889" w:rsidRPr="00B26314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both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B26314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hasankahettiyadeniya1@gmail.com</w:t>
            </w:r>
          </w:p>
        </w:tc>
      </w:tr>
      <w:tr w:rsidR="00046889" w:rsidRPr="00056CC1" w:rsidTr="00046889">
        <w:trPr>
          <w:trHeight w:val="1430"/>
          <w:jc w:val="center"/>
        </w:trPr>
        <w:tc>
          <w:tcPr>
            <w:tcW w:w="1998" w:type="dxa"/>
          </w:tcPr>
          <w:p w:rsidR="00046889" w:rsidRPr="00056CC1" w:rsidRDefault="00046889" w:rsidP="00C90688">
            <w:pPr>
              <w:autoSpaceDE w:val="0"/>
              <w:autoSpaceDN w:val="0"/>
              <w:adjustRightInd w:val="0"/>
              <w:spacing w:before="240" w:after="480" w:line="240" w:lineRule="auto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Mr. </w:t>
            </w:r>
            <w:r w:rsidRPr="00056C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Sachith Wickramasinghe</w:t>
            </w:r>
          </w:p>
        </w:tc>
        <w:tc>
          <w:tcPr>
            <w:tcW w:w="3780" w:type="dxa"/>
          </w:tcPr>
          <w:p w:rsidR="00046889" w:rsidRPr="00056CC1" w:rsidRDefault="00046889" w:rsidP="00C90688">
            <w:pPr>
              <w:autoSpaceDE w:val="0"/>
              <w:autoSpaceDN w:val="0"/>
              <w:adjustRightInd w:val="0"/>
              <w:spacing w:before="240" w:after="480" w:line="240" w:lineRule="auto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Department of Chemistry, Faculty of Science, University of Colombo, Sri Lanka</w:t>
            </w:r>
          </w:p>
        </w:tc>
        <w:tc>
          <w:tcPr>
            <w:tcW w:w="3770" w:type="dxa"/>
          </w:tcPr>
          <w:p w:rsidR="00046889" w:rsidRPr="00B26314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both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B0569A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sachith@chem.cmb.ac.lk</w:t>
            </w:r>
          </w:p>
        </w:tc>
      </w:tr>
      <w:tr w:rsidR="00046889" w:rsidRPr="00056CC1" w:rsidTr="00046889">
        <w:trPr>
          <w:jc w:val="center"/>
        </w:trPr>
        <w:tc>
          <w:tcPr>
            <w:tcW w:w="1998" w:type="dxa"/>
          </w:tcPr>
          <w:p w:rsidR="00046889" w:rsidRPr="00056CC1" w:rsidRDefault="00046889" w:rsidP="00C90688">
            <w:pPr>
              <w:autoSpaceDE w:val="0"/>
              <w:autoSpaceDN w:val="0"/>
              <w:adjustRightInd w:val="0"/>
              <w:spacing w:before="240" w:after="480" w:line="240" w:lineRule="auto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Dr. </w:t>
            </w:r>
            <w:r w:rsidRPr="00056C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Nimali De Silva</w:t>
            </w:r>
          </w:p>
        </w:tc>
        <w:tc>
          <w:tcPr>
            <w:tcW w:w="3780" w:type="dxa"/>
          </w:tcPr>
          <w:p w:rsidR="00046889" w:rsidRPr="00056CC1" w:rsidRDefault="00046889" w:rsidP="00C90688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Department of Nanotechnology, Faculty of Technology, Wayamba University of Sri Lanka, </w:t>
            </w:r>
            <w:proofErr w:type="spellStart"/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Kuliyapitiya</w:t>
            </w:r>
            <w:proofErr w:type="spellEnd"/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70" w:type="dxa"/>
          </w:tcPr>
          <w:p w:rsidR="00046889" w:rsidRPr="00B26314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both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B26314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nimalides@hotmail.com</w:t>
            </w:r>
          </w:p>
        </w:tc>
      </w:tr>
      <w:tr w:rsidR="00046889" w:rsidRPr="00056CC1" w:rsidTr="00046889">
        <w:trPr>
          <w:jc w:val="center"/>
        </w:trPr>
        <w:tc>
          <w:tcPr>
            <w:tcW w:w="1998" w:type="dxa"/>
          </w:tcPr>
          <w:p w:rsidR="00046889" w:rsidRPr="00056CC1" w:rsidRDefault="00046889" w:rsidP="00C90688">
            <w:pPr>
              <w:autoSpaceDE w:val="0"/>
              <w:autoSpaceDN w:val="0"/>
              <w:adjustRightInd w:val="0"/>
              <w:spacing w:before="240" w:after="480" w:line="240" w:lineRule="auto"/>
              <w:rPr>
                <w:rFonts w:ascii="Times New Roman" w:hAnsi="Times New Roman" w:cs="Times New Roman"/>
                <w:b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Mr. </w:t>
            </w:r>
            <w:r w:rsidRPr="00056C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Lakshan Warnakula</w:t>
            </w:r>
          </w:p>
        </w:tc>
        <w:tc>
          <w:tcPr>
            <w:tcW w:w="3780" w:type="dxa"/>
          </w:tcPr>
          <w:p w:rsidR="00046889" w:rsidRPr="00056CC1" w:rsidRDefault="00046889" w:rsidP="00C90688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Section of Genetics, Institute for Research and Development in Health and Social Care, Battaramulla, Sri Lanka </w:t>
            </w:r>
            <w:r w:rsidRPr="00056CC1"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 xml:space="preserve">and </w:t>
            </w:r>
            <w:r w:rsidRPr="00056CC1">
              <w:rPr>
                <w:rFonts w:ascii="Times New Roman" w:hAnsi="Times New Roman"/>
                <w:color w:val="000000"/>
                <w:sz w:val="24"/>
                <w:szCs w:val="24"/>
              </w:rPr>
              <w:t>National Science Foundation, Colombo, Sri Lanka.</w:t>
            </w:r>
          </w:p>
        </w:tc>
        <w:tc>
          <w:tcPr>
            <w:tcW w:w="3770" w:type="dxa"/>
          </w:tcPr>
          <w:p w:rsidR="00046889" w:rsidRPr="00B26314" w:rsidRDefault="00046889" w:rsidP="00B26314">
            <w:pPr>
              <w:autoSpaceDE w:val="0"/>
              <w:autoSpaceDN w:val="0"/>
              <w:adjustRightInd w:val="0"/>
              <w:spacing w:before="240" w:after="480" w:line="240" w:lineRule="auto"/>
              <w:jc w:val="both"/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 w:rsidRPr="00B26314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lakshanwarnakula@gmail.com</w:t>
            </w:r>
          </w:p>
        </w:tc>
      </w:tr>
    </w:tbl>
    <w:p w:rsidR="008512C4" w:rsidRPr="008512C4" w:rsidRDefault="008512C4" w:rsidP="008512C4">
      <w:pPr>
        <w:pStyle w:val="ListParagraph"/>
        <w:spacing w:after="120" w:line="360" w:lineRule="auto"/>
        <w:rPr>
          <w:rFonts w:ascii="Times New Roman" w:hAnsi="Times New Roman"/>
          <w:i/>
          <w:color w:val="000000"/>
          <w:sz w:val="24"/>
          <w:szCs w:val="24"/>
        </w:rPr>
      </w:pPr>
    </w:p>
    <w:p w:rsidR="00046889" w:rsidRDefault="00046889" w:rsidP="00046889">
      <w:pPr>
        <w:autoSpaceDE w:val="0"/>
        <w:autoSpaceDN w:val="0"/>
        <w:adjustRightInd w:val="0"/>
        <w:spacing w:before="240" w:after="4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6889" w:rsidRDefault="00046889" w:rsidP="00046889">
      <w:pPr>
        <w:autoSpaceDE w:val="0"/>
        <w:autoSpaceDN w:val="0"/>
        <w:adjustRightInd w:val="0"/>
        <w:spacing w:before="240" w:after="4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6889" w:rsidRDefault="00046889" w:rsidP="00046889">
      <w:pPr>
        <w:autoSpaceDE w:val="0"/>
        <w:autoSpaceDN w:val="0"/>
        <w:adjustRightInd w:val="0"/>
        <w:spacing w:before="240" w:after="4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6889" w:rsidRDefault="00046889" w:rsidP="00046889">
      <w:pPr>
        <w:autoSpaceDE w:val="0"/>
        <w:autoSpaceDN w:val="0"/>
        <w:adjustRightInd w:val="0"/>
        <w:spacing w:before="240" w:after="4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046889" w:rsidRPr="00056CC1" w:rsidRDefault="00046889" w:rsidP="00046889">
      <w:pPr>
        <w:autoSpaceDE w:val="0"/>
        <w:autoSpaceDN w:val="0"/>
        <w:adjustRightInd w:val="0"/>
        <w:spacing w:before="240" w:after="48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CC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Molecular Cloning and </w:t>
      </w:r>
      <w:r w:rsidRPr="00056C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Pr="00056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of a Selected Catalytic Domain of the Human Cathepsin K Gene </w:t>
      </w:r>
      <w:r w:rsidRPr="00056C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(CtsK)</w:t>
      </w:r>
      <w:r w:rsidRPr="00056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Pr="00056C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Top 10 Escherichia coli</w:t>
      </w:r>
      <w:r w:rsidRPr="00056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System-                                        </w:t>
      </w:r>
      <w:r w:rsidRPr="00056C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 Feasibility Study to Setup Commercially Important Human Protein Overexpression Workstation in Sri Lanka</w:t>
      </w:r>
      <w:r w:rsidRPr="00056CC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E18EC" w:rsidRPr="00046889" w:rsidRDefault="00AE18EC" w:rsidP="00046889">
      <w:pPr>
        <w:pStyle w:val="ListParagraph"/>
        <w:spacing w:after="12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B26314">
        <w:rPr>
          <w:rFonts w:ascii="Times New Roman" w:hAnsi="Times New Roman"/>
          <w:color w:val="000000" w:themeColor="text1"/>
          <w:sz w:val="24"/>
          <w:szCs w:val="24"/>
        </w:rPr>
        <w:t xml:space="preserve">Cathepsin K, encoded by </w:t>
      </w:r>
      <w:r w:rsidRPr="00B26314">
        <w:rPr>
          <w:rFonts w:ascii="Times New Roman" w:hAnsi="Times New Roman"/>
          <w:i/>
          <w:color w:val="000000" w:themeColor="text1"/>
          <w:sz w:val="24"/>
          <w:szCs w:val="24"/>
        </w:rPr>
        <w:t>CtsK</w:t>
      </w:r>
      <w:r w:rsidRPr="00B26314">
        <w:rPr>
          <w:rFonts w:ascii="Times New Roman" w:hAnsi="Times New Roman"/>
          <w:color w:val="000000" w:themeColor="text1"/>
          <w:sz w:val="24"/>
          <w:szCs w:val="24"/>
        </w:rPr>
        <w:t xml:space="preserve"> gene in human, is involved in bone remode</w:t>
      </w:r>
      <w:r w:rsidR="002E7DD0" w:rsidRPr="00B26314">
        <w:rPr>
          <w:rFonts w:ascii="Times New Roman" w:hAnsi="Times New Roman"/>
          <w:color w:val="000000" w:themeColor="text1"/>
          <w:sz w:val="24"/>
          <w:szCs w:val="24"/>
        </w:rPr>
        <w:t xml:space="preserve">ling through ossification. </w:t>
      </w:r>
      <w:r w:rsidR="002E7DD0" w:rsidRPr="00046889">
        <w:rPr>
          <w:rFonts w:ascii="Times New Roman" w:hAnsi="Times New Roman"/>
          <w:color w:val="000000" w:themeColor="text1"/>
          <w:sz w:val="24"/>
          <w:szCs w:val="24"/>
        </w:rPr>
        <w:t>O</w:t>
      </w:r>
      <w:r w:rsidRPr="00046889">
        <w:rPr>
          <w:rFonts w:ascii="Times New Roman" w:hAnsi="Times New Roman"/>
          <w:color w:val="000000" w:themeColor="text1"/>
          <w:sz w:val="24"/>
          <w:szCs w:val="24"/>
        </w:rPr>
        <w:t xml:space="preserve">bjective of the work conducted here was to express catalytic domains of </w:t>
      </w:r>
      <w:r w:rsidRPr="00046889">
        <w:rPr>
          <w:rFonts w:ascii="Times New Roman" w:hAnsi="Times New Roman"/>
          <w:i/>
          <w:color w:val="000000" w:themeColor="text1"/>
          <w:sz w:val="24"/>
          <w:szCs w:val="24"/>
        </w:rPr>
        <w:t>CtsK</w:t>
      </w:r>
      <w:r w:rsidRPr="00046889">
        <w:rPr>
          <w:rFonts w:ascii="Times New Roman" w:hAnsi="Times New Roman"/>
          <w:color w:val="000000" w:themeColor="text1"/>
          <w:sz w:val="24"/>
          <w:szCs w:val="24"/>
        </w:rPr>
        <w:t xml:space="preserve"> gene in bacterial expression system as an initial step, facilitating recombinant production of human Cat</w:t>
      </w:r>
      <w:r w:rsidR="002E7DD0" w:rsidRPr="00046889">
        <w:rPr>
          <w:rFonts w:ascii="Times New Roman" w:hAnsi="Times New Roman"/>
          <w:color w:val="000000" w:themeColor="text1"/>
          <w:sz w:val="24"/>
          <w:szCs w:val="24"/>
        </w:rPr>
        <w:t xml:space="preserve">hepsin </w:t>
      </w:r>
      <w:r w:rsidRPr="00046889">
        <w:rPr>
          <w:rFonts w:ascii="Times New Roman" w:hAnsi="Times New Roman"/>
          <w:color w:val="000000" w:themeColor="text1"/>
          <w:sz w:val="24"/>
          <w:szCs w:val="24"/>
        </w:rPr>
        <w:t>K for downstrea</w:t>
      </w:r>
      <w:r w:rsidR="00E13305" w:rsidRPr="00046889">
        <w:rPr>
          <w:rFonts w:ascii="Times New Roman" w:hAnsi="Times New Roman"/>
          <w:color w:val="000000" w:themeColor="text1"/>
          <w:sz w:val="24"/>
          <w:szCs w:val="24"/>
        </w:rPr>
        <w:t>m application</w:t>
      </w:r>
      <w:r w:rsidR="00046889">
        <w:rPr>
          <w:rFonts w:ascii="Times New Roman" w:hAnsi="Times New Roman"/>
          <w:color w:val="000000" w:themeColor="text1"/>
          <w:sz w:val="24"/>
          <w:szCs w:val="24"/>
        </w:rPr>
        <w:t xml:space="preserve">s in pharmacology in Sri Lanka. 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Genomic DNA was extracted using </w:t>
      </w:r>
      <w:r w:rsidRPr="00046889">
        <w:rPr>
          <w:rFonts w:ascii="Times New Roman" w:hAnsi="Times New Roman"/>
          <w:sz w:val="24"/>
          <w:szCs w:val="24"/>
        </w:rPr>
        <w:t>FlexiGene®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whole blood DNA extraction kit</w:t>
      </w:r>
      <w:r w:rsidR="00E13305"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from four healthy blood samples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>. Upon quantification of DNA through Nanodrop</w:t>
      </w:r>
      <w:r w:rsidRPr="00046889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TM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spectrophotometer, sufficient quantity and quality was observed. </w:t>
      </w:r>
      <w:r w:rsidRPr="00046889">
        <w:rPr>
          <w:rFonts w:ascii="Times New Roman" w:eastAsia="Times New Roman" w:hAnsi="Times New Roman"/>
          <w:i/>
          <w:color w:val="000000"/>
          <w:sz w:val="24"/>
          <w:szCs w:val="24"/>
        </w:rPr>
        <w:t>CtsK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gene was amplified by </w:t>
      </w:r>
      <w:r w:rsidR="00E13305" w:rsidRPr="00046889">
        <w:rPr>
          <w:rFonts w:ascii="Times New Roman" w:eastAsia="Times New Roman" w:hAnsi="Times New Roman"/>
          <w:color w:val="000000"/>
          <w:sz w:val="24"/>
          <w:szCs w:val="24"/>
        </w:rPr>
        <w:t>PCR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using two pairs of primers tagged with </w:t>
      </w:r>
      <w:r w:rsidRPr="00046889">
        <w:rPr>
          <w:rFonts w:ascii="Times New Roman" w:hAnsi="Times New Roman"/>
          <w:sz w:val="24"/>
          <w:szCs w:val="24"/>
        </w:rPr>
        <w:t xml:space="preserve">restriction endonuclease sites of </w:t>
      </w:r>
      <w:r w:rsidRPr="00046889">
        <w:rPr>
          <w:rFonts w:ascii="Times New Roman" w:hAnsi="Times New Roman"/>
          <w:i/>
          <w:sz w:val="24"/>
          <w:szCs w:val="24"/>
        </w:rPr>
        <w:t>Sal1</w:t>
      </w:r>
      <w:r w:rsidRPr="00046889">
        <w:rPr>
          <w:rFonts w:ascii="Times New Roman" w:hAnsi="Times New Roman"/>
          <w:sz w:val="24"/>
          <w:szCs w:val="24"/>
        </w:rPr>
        <w:t xml:space="preserve"> and </w:t>
      </w:r>
      <w:r w:rsidRPr="00046889">
        <w:rPr>
          <w:rFonts w:ascii="Times New Roman" w:hAnsi="Times New Roman"/>
          <w:i/>
          <w:sz w:val="24"/>
          <w:szCs w:val="24"/>
        </w:rPr>
        <w:t>HindIII</w:t>
      </w:r>
      <w:r w:rsidRPr="00046889">
        <w:rPr>
          <w:rFonts w:ascii="Times New Roman" w:hAnsi="Times New Roman"/>
          <w:sz w:val="24"/>
          <w:szCs w:val="24"/>
        </w:rPr>
        <w:t xml:space="preserve"> and visualized by Agarose Gel </w:t>
      </w:r>
      <w:proofErr w:type="gramStart"/>
      <w:r w:rsidRPr="00046889">
        <w:rPr>
          <w:rFonts w:ascii="Times New Roman" w:hAnsi="Times New Roman"/>
          <w:sz w:val="24"/>
          <w:szCs w:val="24"/>
        </w:rPr>
        <w:t>Electrophoresis (AGE).</w:t>
      </w:r>
      <w:proofErr w:type="gramEnd"/>
      <w:r w:rsidRPr="00046889">
        <w:rPr>
          <w:rFonts w:ascii="Times New Roman" w:hAnsi="Times New Roman"/>
          <w:sz w:val="24"/>
          <w:szCs w:val="24"/>
        </w:rPr>
        <w:t xml:space="preserve"> Two different bands of size 545b</w:t>
      </w:r>
      <w:r w:rsidR="00E13305" w:rsidRPr="00046889">
        <w:rPr>
          <w:rFonts w:ascii="Times New Roman" w:hAnsi="Times New Roman"/>
          <w:sz w:val="24"/>
          <w:szCs w:val="24"/>
        </w:rPr>
        <w:t>p and 265bp were observed. B</w:t>
      </w:r>
      <w:r w:rsidRPr="00046889">
        <w:rPr>
          <w:rFonts w:ascii="Times New Roman" w:hAnsi="Times New Roman"/>
          <w:sz w:val="24"/>
          <w:szCs w:val="24"/>
        </w:rPr>
        <w:t>ands were dissected and gel purified using Genaxxon</w:t>
      </w:r>
      <w:r w:rsidRPr="00046889">
        <w:rPr>
          <w:rFonts w:ascii="Times New Roman" w:hAnsi="Times New Roman"/>
          <w:sz w:val="24"/>
          <w:szCs w:val="24"/>
          <w:vertAlign w:val="superscript"/>
        </w:rPr>
        <w:t>TM</w:t>
      </w:r>
      <w:r w:rsidRPr="00046889">
        <w:rPr>
          <w:rFonts w:ascii="Times New Roman" w:hAnsi="Times New Roman"/>
          <w:sz w:val="24"/>
          <w:szCs w:val="24"/>
        </w:rPr>
        <w:t xml:space="preserve"> gel purification kit and sequentially double digested by the above restriction enzymes. Vector </w:t>
      </w:r>
      <w:r w:rsidRPr="00046889">
        <w:rPr>
          <w:rFonts w:ascii="Times New Roman" w:hAnsi="Times New Roman"/>
          <w:i/>
          <w:sz w:val="24"/>
          <w:szCs w:val="24"/>
        </w:rPr>
        <w:t>PBS</w:t>
      </w:r>
      <w:r w:rsidRPr="00046889">
        <w:rPr>
          <w:rFonts w:ascii="Times New Roman" w:hAnsi="Times New Roman"/>
          <w:sz w:val="24"/>
          <w:szCs w:val="24"/>
        </w:rPr>
        <w:t xml:space="preserve"> was also subjected to sequential double digestion using same enzymes and visualized via AGE. Double digested insert of size 265bp and vector were ligated using T</w:t>
      </w:r>
      <w:r w:rsidRPr="00046889">
        <w:rPr>
          <w:rFonts w:ascii="Times New Roman" w:hAnsi="Times New Roman"/>
          <w:sz w:val="24"/>
          <w:szCs w:val="24"/>
          <w:vertAlign w:val="subscript"/>
        </w:rPr>
        <w:t>4</w:t>
      </w:r>
      <w:r w:rsidRPr="00046889">
        <w:rPr>
          <w:rFonts w:ascii="Times New Roman" w:hAnsi="Times New Roman"/>
          <w:sz w:val="24"/>
          <w:szCs w:val="24"/>
        </w:rPr>
        <w:t xml:space="preserve"> DNA Ligase (all enzymes from Promega</w:t>
      </w:r>
      <w:r w:rsidRPr="00046889">
        <w:rPr>
          <w:rFonts w:ascii="Times New Roman" w:hAnsi="Times New Roman"/>
          <w:sz w:val="24"/>
          <w:szCs w:val="24"/>
          <w:vertAlign w:val="superscript"/>
        </w:rPr>
        <w:t>TM</w:t>
      </w:r>
      <w:r w:rsidRPr="00046889">
        <w:rPr>
          <w:rFonts w:ascii="Times New Roman" w:hAnsi="Times New Roman"/>
          <w:sz w:val="24"/>
          <w:szCs w:val="24"/>
        </w:rPr>
        <w:t>). In addition, ligation of PCR product with band size 265bp to pGEM-T</w:t>
      </w:r>
      <w:r w:rsidRPr="00046889">
        <w:rPr>
          <w:rFonts w:ascii="Times New Roman" w:hAnsi="Times New Roman"/>
          <w:sz w:val="24"/>
          <w:szCs w:val="24"/>
          <w:vertAlign w:val="superscript"/>
        </w:rPr>
        <w:t>TM</w:t>
      </w:r>
      <w:r w:rsidRPr="00046889">
        <w:rPr>
          <w:rFonts w:ascii="Times New Roman" w:hAnsi="Times New Roman"/>
          <w:sz w:val="24"/>
          <w:szCs w:val="24"/>
        </w:rPr>
        <w:t xml:space="preserve"> easy vector system (from Promega</w:t>
      </w:r>
      <w:r w:rsidRPr="00046889">
        <w:rPr>
          <w:rFonts w:ascii="Times New Roman" w:hAnsi="Times New Roman"/>
          <w:sz w:val="24"/>
          <w:szCs w:val="24"/>
          <w:vertAlign w:val="superscript"/>
        </w:rPr>
        <w:t>TM</w:t>
      </w:r>
      <w:r w:rsidRPr="00046889">
        <w:rPr>
          <w:rFonts w:ascii="Times New Roman" w:hAnsi="Times New Roman"/>
          <w:sz w:val="24"/>
          <w:szCs w:val="24"/>
        </w:rPr>
        <w:t xml:space="preserve">) was also done. Recombinant </w:t>
      </w:r>
      <w:r w:rsidRPr="00046889">
        <w:rPr>
          <w:rFonts w:ascii="Times New Roman" w:hAnsi="Times New Roman"/>
          <w:i/>
          <w:sz w:val="24"/>
          <w:szCs w:val="24"/>
        </w:rPr>
        <w:t xml:space="preserve">PBS </w:t>
      </w:r>
      <w:r w:rsidRPr="00046889">
        <w:rPr>
          <w:rFonts w:ascii="Times New Roman" w:hAnsi="Times New Roman"/>
          <w:sz w:val="24"/>
          <w:szCs w:val="24"/>
        </w:rPr>
        <w:t xml:space="preserve">was transformed to </w:t>
      </w:r>
      <w:r w:rsidRPr="00046889">
        <w:rPr>
          <w:rFonts w:ascii="Times New Roman" w:hAnsi="Times New Roman"/>
          <w:i/>
          <w:sz w:val="24"/>
          <w:szCs w:val="24"/>
        </w:rPr>
        <w:t>Top10 Escherichia coli</w:t>
      </w:r>
      <w:r w:rsidRPr="00046889">
        <w:rPr>
          <w:rFonts w:ascii="Times New Roman" w:hAnsi="Times New Roman"/>
          <w:sz w:val="24"/>
          <w:szCs w:val="24"/>
        </w:rPr>
        <w:t xml:space="preserve"> competent cells for expression separately. Cells were g</w:t>
      </w:r>
      <w:r w:rsidR="00E13305" w:rsidRPr="00046889">
        <w:rPr>
          <w:rFonts w:ascii="Times New Roman" w:hAnsi="Times New Roman"/>
          <w:sz w:val="24"/>
          <w:szCs w:val="24"/>
        </w:rPr>
        <w:t xml:space="preserve">rown in LB media in presence of </w:t>
      </w:r>
      <w:r w:rsidRPr="00046889">
        <w:rPr>
          <w:rFonts w:ascii="Times New Roman" w:hAnsi="Times New Roman"/>
          <w:sz w:val="24"/>
          <w:szCs w:val="24"/>
        </w:rPr>
        <w:t xml:space="preserve">XGAL, IPTG and Ampicillin and transformed cells were screened. In restriction enzyme digestion and ligation, 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since insert and vector were both double digested, it is confirmed that white colonies obtained were transformed cells with desired recombinant vector and is confirmatory. In </w:t>
      </w:r>
      <w:r w:rsidRPr="00046889">
        <w:rPr>
          <w:rFonts w:ascii="Times New Roman" w:hAnsi="Times New Roman"/>
          <w:sz w:val="24"/>
          <w:szCs w:val="24"/>
        </w:rPr>
        <w:t>pGEM-T</w:t>
      </w:r>
      <w:r w:rsidRPr="00046889">
        <w:rPr>
          <w:rFonts w:ascii="Times New Roman" w:hAnsi="Times New Roman"/>
          <w:sz w:val="24"/>
          <w:szCs w:val="24"/>
          <w:vertAlign w:val="superscript"/>
        </w:rPr>
        <w:t xml:space="preserve">TM </w:t>
      </w:r>
      <w:r w:rsidRPr="00046889">
        <w:rPr>
          <w:rFonts w:ascii="Times New Roman" w:hAnsi="Times New Roman"/>
          <w:sz w:val="24"/>
          <w:szCs w:val="24"/>
        </w:rPr>
        <w:t>ligation, a colony PCR was done using white colonies obtained and prod</w:t>
      </w:r>
      <w:r w:rsidR="00046889">
        <w:rPr>
          <w:rFonts w:ascii="Times New Roman" w:hAnsi="Times New Roman"/>
          <w:sz w:val="24"/>
          <w:szCs w:val="24"/>
        </w:rPr>
        <w:t xml:space="preserve">uct size was confirmed via AGE. 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>In conclusion,</w:t>
      </w:r>
      <w:r w:rsidR="00E13305"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objective 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was successfully achieved, by expressing selected catalytic domains of </w:t>
      </w:r>
      <w:r w:rsidRPr="00046889">
        <w:rPr>
          <w:rFonts w:ascii="Times New Roman" w:eastAsia="Times New Roman" w:hAnsi="Times New Roman"/>
          <w:i/>
          <w:color w:val="000000"/>
          <w:sz w:val="24"/>
          <w:szCs w:val="24"/>
        </w:rPr>
        <w:t>CtsK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>. Developments and improvements could be made for expression of entire gene</w:t>
      </w:r>
      <w:r w:rsidR="00E13305"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 in Sri Lanka</w:t>
      </w:r>
      <w:r w:rsidRPr="00046889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26314" w:rsidRPr="00046889" w:rsidRDefault="00046889" w:rsidP="00046889">
      <w:pPr>
        <w:spacing w:before="240" w:after="48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</w:t>
      </w:r>
      <w:proofErr w:type="gramStart"/>
      <w:r w:rsidR="00AE18EC" w:rsidRPr="00046889">
        <w:rPr>
          <w:rFonts w:ascii="Times New Roman" w:eastAsia="Times New Roman" w:hAnsi="Times New Roman"/>
          <w:b/>
          <w:color w:val="000000"/>
          <w:sz w:val="24"/>
          <w:szCs w:val="24"/>
        </w:rPr>
        <w:t>Key words</w:t>
      </w:r>
      <w:r w:rsidR="00C90688" w:rsidRPr="00046889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="00AE18EC" w:rsidRPr="00046889">
        <w:rPr>
          <w:rFonts w:ascii="Times New Roman" w:hAnsi="Times New Roman"/>
          <w:color w:val="000000" w:themeColor="text1"/>
          <w:sz w:val="24"/>
          <w:szCs w:val="24"/>
        </w:rPr>
        <w:t xml:space="preserve">Cathepsin K, </w:t>
      </w:r>
      <w:r w:rsidR="00AE18EC" w:rsidRPr="00046889">
        <w:rPr>
          <w:rFonts w:ascii="Times New Roman" w:hAnsi="Times New Roman"/>
          <w:i/>
          <w:color w:val="000000" w:themeColor="text1"/>
          <w:sz w:val="24"/>
          <w:szCs w:val="24"/>
        </w:rPr>
        <w:t>CtsK</w:t>
      </w:r>
      <w:r w:rsidR="00AE18EC" w:rsidRPr="00046889">
        <w:rPr>
          <w:rFonts w:ascii="Times New Roman" w:hAnsi="Times New Roman"/>
          <w:color w:val="000000" w:themeColor="text1"/>
          <w:sz w:val="24"/>
          <w:szCs w:val="24"/>
        </w:rPr>
        <w:t xml:space="preserve">, Human, </w:t>
      </w:r>
      <w:r w:rsidR="00AE18EC" w:rsidRPr="00046889">
        <w:rPr>
          <w:rFonts w:ascii="Times New Roman" w:hAnsi="Times New Roman"/>
          <w:i/>
          <w:color w:val="000000" w:themeColor="text1"/>
          <w:sz w:val="24"/>
          <w:szCs w:val="24"/>
        </w:rPr>
        <w:t>Escherichia coli</w:t>
      </w:r>
      <w:r w:rsidR="00AE18EC" w:rsidRPr="00046889">
        <w:rPr>
          <w:rFonts w:ascii="Times New Roman" w:hAnsi="Times New Roman"/>
          <w:color w:val="000000" w:themeColor="text1"/>
          <w:sz w:val="24"/>
          <w:szCs w:val="24"/>
        </w:rPr>
        <w:t>, Expression</w:t>
      </w:r>
      <w:r w:rsidR="00C90688" w:rsidRPr="00046889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164C55" w:rsidRPr="00056CC1" w:rsidRDefault="00164C55">
      <w:pPr>
        <w:rPr>
          <w:rFonts w:ascii="Times New Roman" w:hAnsi="Times New Roman" w:cs="Times New Roman"/>
          <w:sz w:val="24"/>
          <w:szCs w:val="24"/>
        </w:rPr>
      </w:pPr>
    </w:p>
    <w:sectPr w:rsidR="00164C55" w:rsidRPr="00056CC1" w:rsidSect="00AE18EC">
      <w:type w:val="oddPage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A4392"/>
    <w:multiLevelType w:val="hybridMultilevel"/>
    <w:tmpl w:val="E210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1A3"/>
    <w:rsid w:val="00046889"/>
    <w:rsid w:val="00056CC1"/>
    <w:rsid w:val="00164C55"/>
    <w:rsid w:val="001B1A4D"/>
    <w:rsid w:val="001B6EE5"/>
    <w:rsid w:val="002E7DD0"/>
    <w:rsid w:val="00335BA9"/>
    <w:rsid w:val="00471C7E"/>
    <w:rsid w:val="00665C35"/>
    <w:rsid w:val="008512C4"/>
    <w:rsid w:val="008B21D4"/>
    <w:rsid w:val="009E004D"/>
    <w:rsid w:val="00AC01A3"/>
    <w:rsid w:val="00AE18EC"/>
    <w:rsid w:val="00B0569A"/>
    <w:rsid w:val="00B26314"/>
    <w:rsid w:val="00C051C1"/>
    <w:rsid w:val="00C90688"/>
    <w:rsid w:val="00CD19F3"/>
    <w:rsid w:val="00E13305"/>
    <w:rsid w:val="00E915F4"/>
    <w:rsid w:val="00F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8EC"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1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051C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AU"/>
    </w:rPr>
  </w:style>
  <w:style w:type="character" w:styleId="Hyperlink">
    <w:name w:val="Hyperlink"/>
    <w:basedOn w:val="DefaultParagraphFont"/>
    <w:uiPriority w:val="99"/>
    <w:semiHidden/>
    <w:unhideWhenUsed/>
    <w:rsid w:val="00471C7E"/>
    <w:rPr>
      <w:color w:val="0000FF"/>
      <w:u w:val="single"/>
    </w:rPr>
  </w:style>
  <w:style w:type="table" w:styleId="TableGrid">
    <w:name w:val="Table Grid"/>
    <w:basedOn w:val="TableNormal"/>
    <w:uiPriority w:val="59"/>
    <w:rsid w:val="0005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8EC"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1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051C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AU"/>
    </w:rPr>
  </w:style>
  <w:style w:type="character" w:styleId="Hyperlink">
    <w:name w:val="Hyperlink"/>
    <w:basedOn w:val="DefaultParagraphFont"/>
    <w:uiPriority w:val="99"/>
    <w:semiHidden/>
    <w:unhideWhenUsed/>
    <w:rsid w:val="00471C7E"/>
    <w:rPr>
      <w:color w:val="0000FF"/>
      <w:u w:val="single"/>
    </w:rPr>
  </w:style>
  <w:style w:type="table" w:styleId="TableGrid">
    <w:name w:val="Table Grid"/>
    <w:basedOn w:val="TableNormal"/>
    <w:uiPriority w:val="59"/>
    <w:rsid w:val="0005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2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2019-12-23T10:33:00Z</dcterms:created>
  <dcterms:modified xsi:type="dcterms:W3CDTF">2019-12-27T06:45:00Z</dcterms:modified>
</cp:coreProperties>
</file>