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B01" w:rsidRPr="00F93AF3" w:rsidRDefault="00900B01" w:rsidP="00900B01">
      <w:pPr>
        <w:jc w:val="center"/>
        <w:rPr>
          <w:rFonts w:ascii="Arial" w:hAnsi="Arial" w:cs="Arial"/>
          <w:b/>
          <w:sz w:val="24"/>
          <w:szCs w:val="24"/>
        </w:rPr>
      </w:pPr>
      <w:r w:rsidRPr="00F93AF3">
        <w:rPr>
          <w:rFonts w:ascii="Arial" w:hAnsi="Arial" w:cs="Arial"/>
          <w:b/>
          <w:sz w:val="24"/>
          <w:szCs w:val="24"/>
        </w:rPr>
        <w:t>Vitamin D Receptor Gene polymorphisms in Kurdish Population and its Relation to Type 1 Diabetes Mellitus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in </w:t>
      </w:r>
      <w:bookmarkStart w:id="0" w:name="_GoBack"/>
      <w:bookmarkEnd w:id="0"/>
      <w:r w:rsidRPr="00F93AF3">
        <w:rPr>
          <w:rFonts w:ascii="Arial" w:hAnsi="Arial" w:cs="Arial"/>
          <w:b/>
          <w:sz w:val="24"/>
          <w:szCs w:val="24"/>
        </w:rPr>
        <w:t xml:space="preserve"> </w:t>
      </w:r>
      <w:r w:rsidRPr="00900B01">
        <w:rPr>
          <w:rFonts w:ascii="Arial" w:hAnsi="Arial" w:cs="Arial"/>
          <w:b/>
          <w:sz w:val="24"/>
          <w:szCs w:val="24"/>
        </w:rPr>
        <w:t>Erbil</w:t>
      </w:r>
      <w:proofErr w:type="gramEnd"/>
      <w:r w:rsidRPr="00900B01">
        <w:rPr>
          <w:rFonts w:ascii="Arial" w:hAnsi="Arial" w:cs="Arial"/>
          <w:b/>
          <w:sz w:val="24"/>
          <w:szCs w:val="24"/>
        </w:rPr>
        <w:t>/Iraq</w:t>
      </w:r>
      <w:r>
        <w:rPr>
          <w:rFonts w:ascii="Arial" w:hAnsi="Arial" w:cs="Arial"/>
          <w:b/>
          <w:sz w:val="24"/>
          <w:szCs w:val="24"/>
        </w:rPr>
        <w:t>.</w:t>
      </w:r>
    </w:p>
    <w:p w:rsidR="00900B01" w:rsidRPr="00BD3570" w:rsidRDefault="00900B01" w:rsidP="00900B01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BD3570">
        <w:rPr>
          <w:rFonts w:ascii="Arial" w:hAnsi="Arial" w:cs="Arial"/>
          <w:sz w:val="24"/>
          <w:szCs w:val="24"/>
        </w:rPr>
        <w:t>Galawezh</w:t>
      </w:r>
      <w:proofErr w:type="spellEnd"/>
      <w:r w:rsidRPr="00BD3570">
        <w:rPr>
          <w:rFonts w:ascii="Arial" w:hAnsi="Arial" w:cs="Arial"/>
          <w:sz w:val="24"/>
          <w:szCs w:val="24"/>
        </w:rPr>
        <w:t xml:space="preserve"> O. Othman</w:t>
      </w:r>
    </w:p>
    <w:p w:rsidR="00900B01" w:rsidRPr="00AB1FFA" w:rsidRDefault="00900B01" w:rsidP="00900B01">
      <w:pPr>
        <w:jc w:val="center"/>
        <w:rPr>
          <w:rFonts w:ascii="Arial" w:hAnsi="Arial" w:cs="Arial"/>
          <w:sz w:val="24"/>
          <w:szCs w:val="24"/>
        </w:rPr>
      </w:pPr>
      <w:r w:rsidRPr="00BD3570">
        <w:rPr>
          <w:rFonts w:ascii="Arial" w:hAnsi="Arial" w:cs="Arial"/>
          <w:sz w:val="24"/>
          <w:szCs w:val="24"/>
        </w:rPr>
        <w:t>Department of Biology, Collage of Education, University of Salahaddin Erbil, KRG-</w:t>
      </w:r>
      <w:r>
        <w:rPr>
          <w:rFonts w:ascii="Arial" w:hAnsi="Arial" w:cs="Arial"/>
          <w:sz w:val="24"/>
          <w:szCs w:val="24"/>
        </w:rPr>
        <w:t xml:space="preserve"> Iraq</w:t>
      </w:r>
    </w:p>
    <w:p w:rsidR="00900B01" w:rsidRDefault="00900B01" w:rsidP="00900B01">
      <w:pPr>
        <w:rPr>
          <w:rFonts w:ascii="Arial" w:hAnsi="Arial" w:cs="Arial"/>
          <w:b/>
          <w:sz w:val="24"/>
          <w:szCs w:val="24"/>
        </w:rPr>
      </w:pPr>
    </w:p>
    <w:p w:rsidR="00900B01" w:rsidRPr="00AB1FFA" w:rsidRDefault="00900B01" w:rsidP="00900B01">
      <w:pPr>
        <w:rPr>
          <w:rFonts w:ascii="Arial" w:hAnsi="Arial" w:cs="Arial"/>
          <w:sz w:val="24"/>
          <w:szCs w:val="24"/>
        </w:rPr>
      </w:pPr>
      <w:r w:rsidRPr="00AB1FFA">
        <w:rPr>
          <w:rFonts w:ascii="Arial" w:hAnsi="Arial" w:cs="Arial"/>
          <w:b/>
          <w:sz w:val="24"/>
          <w:szCs w:val="24"/>
        </w:rPr>
        <w:t>Aims/hypothesis</w:t>
      </w:r>
      <w:r w:rsidRPr="00AB1FFA">
        <w:rPr>
          <w:rFonts w:ascii="Arial" w:hAnsi="Arial" w:cs="Arial"/>
          <w:sz w:val="24"/>
          <w:szCs w:val="24"/>
        </w:rPr>
        <w:t xml:space="preserve">: </w:t>
      </w:r>
      <w:r w:rsidRPr="00BD3570">
        <w:rPr>
          <w:rFonts w:ascii="Arial" w:hAnsi="Arial" w:cs="Arial"/>
          <w:sz w:val="24"/>
          <w:szCs w:val="24"/>
        </w:rPr>
        <w:t xml:space="preserve">This study was conducted to evaluate association between type 1 diabetes and 2 </w:t>
      </w:r>
      <w:r w:rsidRPr="00BD3570">
        <w:rPr>
          <w:rFonts w:ascii="Arial" w:hAnsi="Arial" w:cs="Arial"/>
          <w:i/>
          <w:iCs/>
          <w:sz w:val="24"/>
          <w:szCs w:val="24"/>
        </w:rPr>
        <w:t xml:space="preserve">VDR </w:t>
      </w:r>
      <w:r w:rsidRPr="00BD3570">
        <w:rPr>
          <w:rFonts w:ascii="Arial" w:hAnsi="Arial" w:cs="Arial"/>
          <w:sz w:val="24"/>
          <w:szCs w:val="24"/>
        </w:rPr>
        <w:t>gene polymorphisms (</w:t>
      </w:r>
      <w:proofErr w:type="spellStart"/>
      <w:r w:rsidRPr="00BD3570">
        <w:rPr>
          <w:rFonts w:ascii="Arial" w:hAnsi="Arial" w:cs="Arial"/>
          <w:i/>
          <w:iCs/>
          <w:sz w:val="24"/>
          <w:szCs w:val="24"/>
        </w:rPr>
        <w:t>APaI</w:t>
      </w:r>
      <w:proofErr w:type="spellEnd"/>
      <w:r w:rsidRPr="00BD3570">
        <w:rPr>
          <w:rFonts w:ascii="Arial" w:hAnsi="Arial" w:cs="Arial"/>
          <w:i/>
          <w:iCs/>
          <w:sz w:val="24"/>
          <w:szCs w:val="24"/>
        </w:rPr>
        <w:t xml:space="preserve"> </w:t>
      </w:r>
      <w:r w:rsidRPr="00BD3570">
        <w:rPr>
          <w:rFonts w:ascii="Arial" w:hAnsi="Arial" w:cs="Arial"/>
          <w:sz w:val="24"/>
          <w:szCs w:val="24"/>
        </w:rPr>
        <w:t xml:space="preserve">and </w:t>
      </w:r>
      <w:proofErr w:type="spellStart"/>
      <w:r w:rsidRPr="00BD3570">
        <w:rPr>
          <w:rFonts w:ascii="Arial" w:hAnsi="Arial" w:cs="Arial"/>
          <w:i/>
          <w:iCs/>
          <w:sz w:val="24"/>
          <w:szCs w:val="24"/>
        </w:rPr>
        <w:t>TaqI</w:t>
      </w:r>
      <w:proofErr w:type="spellEnd"/>
      <w:r w:rsidRPr="00BD3570">
        <w:rPr>
          <w:rFonts w:ascii="Arial" w:hAnsi="Arial" w:cs="Arial"/>
          <w:i/>
          <w:iCs/>
          <w:sz w:val="24"/>
          <w:szCs w:val="24"/>
        </w:rPr>
        <w:t>)</w:t>
      </w:r>
      <w:r w:rsidRPr="00BD3570">
        <w:rPr>
          <w:rFonts w:ascii="Arial" w:hAnsi="Arial" w:cs="Arial"/>
          <w:sz w:val="24"/>
          <w:szCs w:val="24"/>
        </w:rPr>
        <w:t xml:space="preserve"> in Kurdish population in Erbil/Iraq</w:t>
      </w:r>
    </w:p>
    <w:p w:rsidR="00900B01" w:rsidRPr="00AB1FFA" w:rsidRDefault="00900B01" w:rsidP="00900B01">
      <w:pPr>
        <w:jc w:val="both"/>
        <w:rPr>
          <w:rFonts w:ascii="Arial" w:hAnsi="Arial" w:cs="Arial"/>
          <w:sz w:val="24"/>
          <w:szCs w:val="24"/>
        </w:rPr>
      </w:pPr>
      <w:r w:rsidRPr="00AB1FFA">
        <w:rPr>
          <w:rFonts w:ascii="Arial" w:hAnsi="Arial" w:cs="Arial"/>
          <w:b/>
          <w:sz w:val="24"/>
          <w:szCs w:val="24"/>
        </w:rPr>
        <w:t>Methods</w:t>
      </w:r>
      <w:r w:rsidRPr="00AB1FFA">
        <w:rPr>
          <w:rFonts w:ascii="Arial" w:hAnsi="Arial" w:cs="Arial"/>
          <w:sz w:val="24"/>
          <w:szCs w:val="24"/>
        </w:rPr>
        <w:t xml:space="preserve">: </w:t>
      </w:r>
      <w:r w:rsidRPr="00BD3570">
        <w:rPr>
          <w:rFonts w:ascii="Arial" w:hAnsi="Arial" w:cs="Arial"/>
          <w:sz w:val="24"/>
          <w:szCs w:val="24"/>
        </w:rPr>
        <w:t xml:space="preserve">Forty patients clinically diagnosed with type 1 diabetes mellitus and thirty healthy controls were recruited from the Kurdish population in Erbil/Iraq. Genomic DNA was extracted from blood and genotyped for the single nucleotide polymorphism SNPs of The prevalence of VDR polymorphisms in 2 restriction fragment length polymorphism sites including </w:t>
      </w:r>
      <w:proofErr w:type="spellStart"/>
      <w:r w:rsidRPr="00BD3570">
        <w:rPr>
          <w:rFonts w:ascii="Arial" w:hAnsi="Arial" w:cs="Arial"/>
          <w:sz w:val="24"/>
          <w:szCs w:val="24"/>
        </w:rPr>
        <w:t>APaI</w:t>
      </w:r>
      <w:proofErr w:type="spellEnd"/>
      <w:r w:rsidRPr="00BD3570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BD3570">
        <w:rPr>
          <w:rFonts w:ascii="Arial" w:hAnsi="Arial" w:cs="Arial"/>
          <w:sz w:val="24"/>
          <w:szCs w:val="24"/>
        </w:rPr>
        <w:t>TaqI</w:t>
      </w:r>
      <w:proofErr w:type="spellEnd"/>
      <w:r w:rsidRPr="00BD3570">
        <w:rPr>
          <w:rFonts w:ascii="Arial" w:hAnsi="Arial" w:cs="Arial"/>
          <w:sz w:val="24"/>
          <w:szCs w:val="24"/>
        </w:rPr>
        <w:t xml:space="preserve"> were analysed by polymerase chain reaction and restriction fragment length Polymorphism (PCR-RFLP) by using </w:t>
      </w:r>
      <w:proofErr w:type="spellStart"/>
      <w:r w:rsidRPr="00BD3570">
        <w:rPr>
          <w:rFonts w:ascii="Arial" w:hAnsi="Arial" w:cs="Arial"/>
          <w:sz w:val="24"/>
          <w:szCs w:val="24"/>
        </w:rPr>
        <w:t>APaI</w:t>
      </w:r>
      <w:proofErr w:type="spellEnd"/>
      <w:r w:rsidRPr="00BD3570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BD3570">
        <w:rPr>
          <w:rFonts w:ascii="Arial" w:hAnsi="Arial" w:cs="Arial"/>
          <w:sz w:val="24"/>
          <w:szCs w:val="24"/>
        </w:rPr>
        <w:t>TaqI</w:t>
      </w:r>
      <w:proofErr w:type="spellEnd"/>
      <w:r w:rsidRPr="00BD3570">
        <w:rPr>
          <w:rFonts w:ascii="Arial" w:hAnsi="Arial" w:cs="Arial"/>
          <w:sz w:val="24"/>
          <w:szCs w:val="24"/>
        </w:rPr>
        <w:t xml:space="preserve"> restriction enzymes in patients and controls.</w:t>
      </w:r>
      <w:r w:rsidRPr="00BD3570">
        <w:t xml:space="preserve"> </w:t>
      </w:r>
      <w:r w:rsidRPr="00BD3570">
        <w:rPr>
          <w:rFonts w:ascii="Arial" w:hAnsi="Arial" w:cs="Arial"/>
          <w:sz w:val="24"/>
          <w:szCs w:val="24"/>
        </w:rPr>
        <w:t>Genotype distribution</w:t>
      </w:r>
      <w:r>
        <w:rPr>
          <w:rFonts w:ascii="Arial" w:hAnsi="Arial" w:cs="Arial"/>
          <w:sz w:val="24"/>
          <w:szCs w:val="24"/>
        </w:rPr>
        <w:t xml:space="preserve"> </w:t>
      </w:r>
      <w:r w:rsidRPr="00BD3570">
        <w:rPr>
          <w:rFonts w:ascii="Arial" w:hAnsi="Arial" w:cs="Arial"/>
          <w:sz w:val="24"/>
          <w:szCs w:val="24"/>
        </w:rPr>
        <w:t>and allelic frequencies were compared between patients and controls.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D3570">
        <w:rPr>
          <w:rFonts w:ascii="Arial" w:hAnsi="Arial" w:cs="Arial"/>
          <w:sz w:val="24"/>
          <w:szCs w:val="24"/>
        </w:rPr>
        <w:t>Calculated using SPSS software (version 15.0).</w:t>
      </w:r>
      <w:proofErr w:type="gramEnd"/>
    </w:p>
    <w:p w:rsidR="00900B01" w:rsidRPr="00BD3570" w:rsidRDefault="00900B01" w:rsidP="00900B01">
      <w:pPr>
        <w:rPr>
          <w:rFonts w:ascii="Arial" w:hAnsi="Arial" w:cs="Arial"/>
          <w:sz w:val="24"/>
          <w:szCs w:val="24"/>
        </w:rPr>
      </w:pPr>
      <w:r w:rsidRPr="00AB1FFA">
        <w:rPr>
          <w:rFonts w:ascii="Arial" w:hAnsi="Arial" w:cs="Arial"/>
          <w:b/>
          <w:sz w:val="24"/>
          <w:szCs w:val="24"/>
        </w:rPr>
        <w:t>Results</w:t>
      </w:r>
      <w:r w:rsidRPr="00AB1FFA">
        <w:rPr>
          <w:rFonts w:ascii="Arial" w:hAnsi="Arial" w:cs="Arial"/>
          <w:sz w:val="24"/>
          <w:szCs w:val="24"/>
        </w:rPr>
        <w:t xml:space="preserve">: </w:t>
      </w:r>
      <w:r w:rsidRPr="00BD3570">
        <w:rPr>
          <w:rFonts w:ascii="Arial" w:hAnsi="Arial" w:cs="Arial"/>
          <w:sz w:val="24"/>
          <w:szCs w:val="24"/>
        </w:rPr>
        <w:t>The genotype distribution, and allele frequencies of</w:t>
      </w:r>
    </w:p>
    <w:p w:rsidR="00900B01" w:rsidRDefault="00900B01" w:rsidP="00900B01">
      <w:pPr>
        <w:jc w:val="both"/>
        <w:rPr>
          <w:rFonts w:ascii="Arial" w:hAnsi="Arial" w:cs="Arial"/>
          <w:sz w:val="24"/>
          <w:szCs w:val="24"/>
        </w:rPr>
      </w:pPr>
      <w:r w:rsidRPr="00BD3570">
        <w:rPr>
          <w:rFonts w:ascii="Arial" w:hAnsi="Arial" w:cs="Arial"/>
          <w:sz w:val="24"/>
          <w:szCs w:val="24"/>
        </w:rPr>
        <w:t xml:space="preserve">VDR polymorphism differs significantly between patients and controls. The result approved that the genotype GT in SNP </w:t>
      </w:r>
      <w:proofErr w:type="spellStart"/>
      <w:r w:rsidRPr="002C5E43">
        <w:rPr>
          <w:rFonts w:ascii="Arial" w:hAnsi="Arial" w:cs="Arial"/>
          <w:i/>
          <w:iCs/>
          <w:sz w:val="24"/>
          <w:szCs w:val="24"/>
        </w:rPr>
        <w:t>APaI</w:t>
      </w:r>
      <w:proofErr w:type="spellEnd"/>
      <w:r w:rsidRPr="00BD3570">
        <w:rPr>
          <w:rFonts w:ascii="Arial" w:hAnsi="Arial" w:cs="Arial"/>
          <w:sz w:val="24"/>
          <w:szCs w:val="24"/>
        </w:rPr>
        <w:t xml:space="preserve"> was risk factor among type 1 diabetes mellitus patients combination which conferred strongest susceptibility to T1DM (P=0.00023) while the SNP </w:t>
      </w:r>
      <w:proofErr w:type="spellStart"/>
      <w:r w:rsidRPr="00BD3570">
        <w:rPr>
          <w:rFonts w:ascii="Arial" w:hAnsi="Arial" w:cs="Arial"/>
          <w:sz w:val="24"/>
          <w:szCs w:val="24"/>
        </w:rPr>
        <w:t>TaqI</w:t>
      </w:r>
      <w:proofErr w:type="spellEnd"/>
      <w:r w:rsidRPr="00BD3570">
        <w:rPr>
          <w:rFonts w:ascii="Arial" w:hAnsi="Arial" w:cs="Arial"/>
          <w:sz w:val="24"/>
          <w:szCs w:val="24"/>
        </w:rPr>
        <w:t xml:space="preserve"> did not showed any significance between cases as compared with control (P=0.35).</w:t>
      </w:r>
    </w:p>
    <w:p w:rsidR="00900B01" w:rsidRDefault="00900B01" w:rsidP="00900B01">
      <w:pPr>
        <w:jc w:val="both"/>
        <w:rPr>
          <w:rFonts w:ascii="Arial" w:hAnsi="Arial" w:cs="Arial"/>
          <w:sz w:val="24"/>
          <w:szCs w:val="24"/>
        </w:rPr>
      </w:pPr>
      <w:r w:rsidRPr="00AB1FFA">
        <w:rPr>
          <w:rFonts w:ascii="Arial" w:hAnsi="Arial" w:cs="Arial"/>
          <w:b/>
          <w:sz w:val="24"/>
          <w:szCs w:val="24"/>
        </w:rPr>
        <w:t>Conclusions/interpretation</w:t>
      </w:r>
      <w:r w:rsidRPr="00AB1FFA">
        <w:rPr>
          <w:rFonts w:ascii="Arial" w:hAnsi="Arial" w:cs="Arial"/>
          <w:sz w:val="24"/>
          <w:szCs w:val="24"/>
        </w:rPr>
        <w:t xml:space="preserve">: </w:t>
      </w:r>
      <w:r w:rsidRPr="00BD3570">
        <w:rPr>
          <w:rFonts w:ascii="Arial" w:hAnsi="Arial" w:cs="Arial"/>
          <w:sz w:val="24"/>
          <w:szCs w:val="24"/>
        </w:rPr>
        <w:t>Our data suggest that VDR gene polymorphism in combination of</w:t>
      </w:r>
      <w:r>
        <w:rPr>
          <w:rFonts w:ascii="Arial" w:hAnsi="Arial" w:cs="Arial"/>
          <w:sz w:val="24"/>
          <w:szCs w:val="24"/>
        </w:rPr>
        <w:t xml:space="preserve"> </w:t>
      </w:r>
      <w:r w:rsidRPr="00BD3570">
        <w:rPr>
          <w:rFonts w:ascii="Arial" w:hAnsi="Arial" w:cs="Arial"/>
          <w:sz w:val="24"/>
          <w:szCs w:val="24"/>
        </w:rPr>
        <w:t>genotypes is associated with the risk of T1DM indicated that VDR polymorphisms are associated with increased risk of T1DM in the Kurdish population and thus requires further studies as a probable genetic risk marker for T1DM . Further studies are require to confirmed this finding especially the VDR gene investigated for the first time in  the Kurdish population</w:t>
      </w:r>
      <w:r>
        <w:rPr>
          <w:rFonts w:ascii="Arial" w:hAnsi="Arial" w:cs="Arial"/>
          <w:sz w:val="24"/>
          <w:szCs w:val="24"/>
        </w:rPr>
        <w:t>.</w:t>
      </w:r>
    </w:p>
    <w:p w:rsidR="00900B01" w:rsidRPr="00AB1FFA" w:rsidRDefault="00900B01" w:rsidP="00900B01">
      <w:pPr>
        <w:jc w:val="both"/>
        <w:rPr>
          <w:rFonts w:ascii="Arial" w:hAnsi="Arial" w:cs="Arial"/>
          <w:sz w:val="24"/>
          <w:szCs w:val="24"/>
        </w:rPr>
      </w:pPr>
    </w:p>
    <w:p w:rsidR="00A76804" w:rsidRPr="00900B01" w:rsidRDefault="00A76804">
      <w:pPr>
        <w:rPr>
          <w:lang w:bidi="ar-IQ"/>
        </w:rPr>
      </w:pPr>
    </w:p>
    <w:sectPr w:rsidR="00A76804" w:rsidRPr="00900B01" w:rsidSect="00C05BD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9C7"/>
    <w:rsid w:val="00900B01"/>
    <w:rsid w:val="00A76804"/>
    <w:rsid w:val="00BF49C7"/>
    <w:rsid w:val="00C0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B01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B01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1657</Characters>
  <Application>Microsoft Office Word</Application>
  <DocSecurity>0</DocSecurity>
  <Lines>13</Lines>
  <Paragraphs>3</Paragraphs>
  <ScaleCrop>false</ScaleCrop>
  <Company>n0ak95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n0ak95</dc:creator>
  <cp:keywords/>
  <dc:description/>
  <cp:lastModifiedBy>n0ak95</cp:lastModifiedBy>
  <cp:revision>2</cp:revision>
  <dcterms:created xsi:type="dcterms:W3CDTF">2018-06-30T16:13:00Z</dcterms:created>
  <dcterms:modified xsi:type="dcterms:W3CDTF">2018-06-30T16:15:00Z</dcterms:modified>
</cp:coreProperties>
</file>