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6DC6A" w14:textId="77777777" w:rsidR="00884B6C" w:rsidRDefault="00884B6C" w:rsidP="00884B6C">
      <w:pPr>
        <w:snapToGrid w:val="0"/>
        <w:spacing w:line="480" w:lineRule="auto"/>
        <w:ind w:firstLineChars="200" w:firstLine="420"/>
        <w:jc w:val="right"/>
        <w:rPr>
          <w:rFonts w:ascii="Times New Roman" w:hAnsi="Times New Roman"/>
          <w:sz w:val="22"/>
        </w:rPr>
      </w:pPr>
      <w:bookmarkStart w:id="0" w:name="OLE_LINK5"/>
      <w:bookmarkStart w:id="1" w:name="OLE_LINK6"/>
      <w:bookmarkStart w:id="2" w:name="OLE_LINK17"/>
      <w:r>
        <w:rPr>
          <w:noProof/>
        </w:rPr>
        <w:drawing>
          <wp:inline distT="0" distB="0" distL="0" distR="0" wp14:anchorId="20B55B6C" wp14:editId="6880F8C0">
            <wp:extent cx="1258570" cy="16205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ADE5" w14:textId="77777777" w:rsidR="00884B6C" w:rsidRDefault="00884B6C" w:rsidP="00884B6C">
      <w:pPr>
        <w:snapToGrid w:val="0"/>
        <w:rPr>
          <w:rFonts w:ascii="Times New Roman" w:hAnsi="Times New Roman"/>
          <w:sz w:val="28"/>
          <w:szCs w:val="28"/>
        </w:rPr>
      </w:pPr>
      <w:r w:rsidRPr="00884B6C">
        <w:rPr>
          <w:rFonts w:ascii="Times New Roman" w:hAnsi="Times New Roman"/>
          <w:b/>
          <w:bCs/>
          <w:sz w:val="28"/>
          <w:szCs w:val="28"/>
        </w:rPr>
        <w:t>Title:</w:t>
      </w:r>
      <w:r w:rsidRPr="00884B6C">
        <w:rPr>
          <w:rFonts w:ascii="Times New Roman" w:hAnsi="Times New Roman"/>
          <w:sz w:val="28"/>
          <w:szCs w:val="28"/>
        </w:rPr>
        <w:t xml:space="preserve"> </w:t>
      </w:r>
      <w:r w:rsidRPr="00884B6C">
        <w:rPr>
          <w:rFonts w:ascii="Times New Roman" w:hAnsi="Times New Roman" w:hint="eastAsia"/>
          <w:sz w:val="28"/>
          <w:szCs w:val="28"/>
        </w:rPr>
        <w:t>I</w:t>
      </w:r>
      <w:r w:rsidRPr="00884B6C">
        <w:rPr>
          <w:rFonts w:ascii="Times New Roman" w:hAnsi="Times New Roman"/>
          <w:sz w:val="28"/>
          <w:szCs w:val="28"/>
        </w:rPr>
        <w:t xml:space="preserve">dentification </w:t>
      </w:r>
      <w:r w:rsidRPr="006E75FD">
        <w:rPr>
          <w:rFonts w:ascii="Times New Roman" w:hAnsi="Times New Roman"/>
          <w:sz w:val="28"/>
          <w:szCs w:val="28"/>
        </w:rPr>
        <w:t>of Distribution of Human Endogenous Retroviruses K (HML-2) by PCR-based Target Enrichment Sequenc</w:t>
      </w:r>
      <w:r w:rsidRPr="00884B6C">
        <w:rPr>
          <w:rFonts w:ascii="Times New Roman" w:hAnsi="Times New Roman"/>
          <w:sz w:val="28"/>
          <w:szCs w:val="28"/>
        </w:rPr>
        <w:t>ing</w:t>
      </w:r>
    </w:p>
    <w:p w14:paraId="6665E66F" w14:textId="77777777" w:rsidR="00884B6C" w:rsidRPr="00884B6C" w:rsidRDefault="00884B6C" w:rsidP="00884B6C">
      <w:pPr>
        <w:snapToGrid w:val="0"/>
        <w:rPr>
          <w:rFonts w:ascii="Times New Roman" w:hAnsi="Times New Roman"/>
          <w:sz w:val="28"/>
          <w:szCs w:val="28"/>
        </w:rPr>
      </w:pPr>
    </w:p>
    <w:p w14:paraId="01B1719B" w14:textId="4FD352FF" w:rsidR="00E63FB9" w:rsidRPr="00E63FB9" w:rsidRDefault="00E63FB9" w:rsidP="00E63FB9">
      <w:pPr>
        <w:snapToGrid w:val="0"/>
        <w:ind w:firstLineChars="200" w:firstLine="480"/>
        <w:jc w:val="center"/>
        <w:rPr>
          <w:rFonts w:ascii="Times New Roman" w:hAnsi="Times New Roman"/>
          <w:sz w:val="24"/>
          <w:szCs w:val="24"/>
        </w:rPr>
      </w:pPr>
      <w:r w:rsidRPr="00E63FB9">
        <w:rPr>
          <w:rFonts w:ascii="Times New Roman" w:hAnsi="Times New Roman"/>
          <w:sz w:val="24"/>
          <w:szCs w:val="24"/>
        </w:rPr>
        <w:t xml:space="preserve">Bei </w:t>
      </w:r>
      <w:proofErr w:type="spellStart"/>
      <w:r w:rsidRPr="00E63FB9">
        <w:rPr>
          <w:rFonts w:ascii="Times New Roman" w:hAnsi="Times New Roman"/>
          <w:sz w:val="24"/>
          <w:szCs w:val="24"/>
        </w:rPr>
        <w:t>Xue</w:t>
      </w:r>
      <w:proofErr w:type="spellEnd"/>
      <w:r w:rsidRPr="00E63FB9">
        <w:rPr>
          <w:rFonts w:ascii="Times New Roman" w:hAnsi="Times New Roman"/>
          <w:sz w:val="24"/>
          <w:szCs w:val="24"/>
        </w:rPr>
        <w:t xml:space="preserve"> </w:t>
      </w:r>
      <w:r w:rsidRPr="00E63FB9">
        <w:rPr>
          <w:rFonts w:ascii="Times New Roman" w:hAnsi="Times New Roman"/>
          <w:sz w:val="24"/>
          <w:szCs w:val="24"/>
          <w:vertAlign w:val="superscript"/>
        </w:rPr>
        <w:t>1, 2, 3</w:t>
      </w:r>
      <w:r w:rsidRPr="00E63F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63FB9">
        <w:rPr>
          <w:rFonts w:ascii="Times New Roman" w:hAnsi="Times New Roman"/>
          <w:sz w:val="24"/>
          <w:szCs w:val="24"/>
        </w:rPr>
        <w:t>Tiansheng</w:t>
      </w:r>
      <w:proofErr w:type="spellEnd"/>
      <w:r w:rsidRPr="00E63FB9">
        <w:rPr>
          <w:rFonts w:ascii="Times New Roman" w:hAnsi="Times New Roman"/>
          <w:sz w:val="24"/>
          <w:szCs w:val="24"/>
        </w:rPr>
        <w:t xml:space="preserve"> Zeng </w:t>
      </w:r>
      <w:r w:rsidRPr="00E63FB9">
        <w:rPr>
          <w:rFonts w:ascii="Times New Roman" w:hAnsi="Times New Roman"/>
          <w:sz w:val="24"/>
          <w:szCs w:val="24"/>
          <w:vertAlign w:val="superscript"/>
        </w:rPr>
        <w:t>1, 4</w:t>
      </w:r>
      <w:r w:rsidRPr="00E63FB9">
        <w:rPr>
          <w:rFonts w:ascii="Times New Roman" w:hAnsi="Times New Roman"/>
          <w:sz w:val="24"/>
          <w:szCs w:val="24"/>
        </w:rPr>
        <w:t xml:space="preserve">, Lisha Jia </w:t>
      </w:r>
      <w:r w:rsidRPr="00E63FB9">
        <w:rPr>
          <w:rFonts w:ascii="Times New Roman" w:hAnsi="Times New Roman"/>
          <w:sz w:val="24"/>
          <w:szCs w:val="24"/>
          <w:vertAlign w:val="superscript"/>
        </w:rPr>
        <w:t>1</w:t>
      </w:r>
      <w:r w:rsidRPr="00E63FB9">
        <w:rPr>
          <w:rFonts w:ascii="Times New Roman" w:hAnsi="Times New Roman"/>
          <w:sz w:val="24"/>
          <w:szCs w:val="24"/>
        </w:rPr>
        <w:t>, Dongsheng Yang</w:t>
      </w:r>
      <w:r w:rsidRPr="00E63FB9">
        <w:rPr>
          <w:rFonts w:ascii="Times New Roman" w:hAnsi="Times New Roman"/>
          <w:sz w:val="24"/>
          <w:szCs w:val="24"/>
          <w:vertAlign w:val="superscript"/>
        </w:rPr>
        <w:t xml:space="preserve"> 1</w:t>
      </w:r>
      <w:r w:rsidRPr="00E63FB9">
        <w:rPr>
          <w:rFonts w:ascii="Times New Roman" w:hAnsi="Times New Roman"/>
          <w:sz w:val="24"/>
          <w:szCs w:val="24"/>
        </w:rPr>
        <w:t>, Stanley L Lin</w:t>
      </w:r>
      <w:r w:rsidRPr="00E63FB9">
        <w:rPr>
          <w:rFonts w:ascii="Times New Roman" w:hAnsi="Times New Roman"/>
          <w:sz w:val="24"/>
          <w:szCs w:val="24"/>
          <w:vertAlign w:val="superscript"/>
        </w:rPr>
        <w:t xml:space="preserve"> 1</w:t>
      </w:r>
      <w:r w:rsidRPr="00E63FB9">
        <w:rPr>
          <w:rFonts w:ascii="Times New Roman" w:hAnsi="Times New Roman"/>
          <w:sz w:val="24"/>
          <w:szCs w:val="24"/>
        </w:rPr>
        <w:t xml:space="preserve">, Leonardo A </w:t>
      </w:r>
      <w:proofErr w:type="spellStart"/>
      <w:r w:rsidRPr="00E63FB9">
        <w:rPr>
          <w:rFonts w:ascii="Times New Roman" w:hAnsi="Times New Roman"/>
          <w:sz w:val="24"/>
          <w:szCs w:val="24"/>
        </w:rPr>
        <w:t>Sechi</w:t>
      </w:r>
      <w:proofErr w:type="spellEnd"/>
      <w:r w:rsidRPr="00E63FB9">
        <w:rPr>
          <w:rFonts w:ascii="Times New Roman" w:hAnsi="Times New Roman"/>
          <w:sz w:val="24"/>
          <w:szCs w:val="24"/>
        </w:rPr>
        <w:t xml:space="preserve"> </w:t>
      </w:r>
      <w:r w:rsidRPr="00E63FB9">
        <w:rPr>
          <w:rFonts w:ascii="Times New Roman" w:hAnsi="Times New Roman"/>
          <w:sz w:val="24"/>
          <w:szCs w:val="24"/>
          <w:vertAlign w:val="superscript"/>
        </w:rPr>
        <w:t>4</w:t>
      </w:r>
      <w:r w:rsidRPr="00E63FB9">
        <w:rPr>
          <w:rFonts w:ascii="Times New Roman" w:hAnsi="Times New Roman"/>
          <w:sz w:val="24"/>
          <w:szCs w:val="24"/>
        </w:rPr>
        <w:t xml:space="preserve">, David J Kelvin </w:t>
      </w:r>
      <w:r w:rsidRPr="00E63FB9">
        <w:rPr>
          <w:rFonts w:ascii="Times New Roman" w:hAnsi="Times New Roman"/>
          <w:sz w:val="24"/>
          <w:szCs w:val="24"/>
          <w:vertAlign w:val="superscript"/>
        </w:rPr>
        <w:t>1, 2, 3, 4</w:t>
      </w:r>
    </w:p>
    <w:p w14:paraId="0F5FFA1D" w14:textId="77777777" w:rsidR="00E63FB9" w:rsidRPr="00E63FB9" w:rsidRDefault="00E63FB9" w:rsidP="00E63FB9">
      <w:pPr>
        <w:snapToGrid w:val="0"/>
        <w:ind w:firstLineChars="200" w:firstLine="480"/>
        <w:jc w:val="center"/>
        <w:rPr>
          <w:rFonts w:ascii="Times New Roman" w:hAnsi="Times New Roman"/>
          <w:sz w:val="24"/>
          <w:szCs w:val="24"/>
        </w:rPr>
      </w:pPr>
      <w:r w:rsidRPr="00E63FB9">
        <w:rPr>
          <w:rFonts w:ascii="Times New Roman" w:hAnsi="Times New Roman"/>
          <w:sz w:val="24"/>
          <w:szCs w:val="24"/>
        </w:rPr>
        <w:t>1.</w:t>
      </w:r>
      <w:r w:rsidRPr="00E63FB9">
        <w:rPr>
          <w:rFonts w:ascii="Times New Roman" w:hAnsi="Times New Roman"/>
          <w:sz w:val="24"/>
          <w:szCs w:val="24"/>
        </w:rPr>
        <w:tab/>
        <w:t>Division of Immunology, International Institute of Infection and Immunity, Shantou University Medical College, Shantou, China</w:t>
      </w:r>
    </w:p>
    <w:p w14:paraId="700AE3DB" w14:textId="77777777" w:rsidR="00E63FB9" w:rsidRPr="00E63FB9" w:rsidRDefault="00E63FB9" w:rsidP="00E63FB9">
      <w:pPr>
        <w:snapToGrid w:val="0"/>
        <w:ind w:firstLineChars="200" w:firstLine="480"/>
        <w:jc w:val="center"/>
        <w:rPr>
          <w:rFonts w:ascii="Times New Roman" w:hAnsi="Times New Roman"/>
          <w:sz w:val="24"/>
          <w:szCs w:val="24"/>
        </w:rPr>
      </w:pPr>
      <w:r w:rsidRPr="00E63FB9">
        <w:rPr>
          <w:rFonts w:ascii="Times New Roman" w:hAnsi="Times New Roman"/>
          <w:sz w:val="24"/>
          <w:szCs w:val="24"/>
        </w:rPr>
        <w:t>2.</w:t>
      </w:r>
      <w:r w:rsidRPr="00E63FB9">
        <w:rPr>
          <w:rFonts w:ascii="Times New Roman" w:hAnsi="Times New Roman"/>
          <w:sz w:val="24"/>
          <w:szCs w:val="24"/>
        </w:rPr>
        <w:tab/>
        <w:t>The Department of Microbiology and Immunology, Dalhousie University, Halifax, Canada</w:t>
      </w:r>
    </w:p>
    <w:p w14:paraId="6CD437AD" w14:textId="77777777" w:rsidR="00E63FB9" w:rsidRPr="00E63FB9" w:rsidRDefault="00E63FB9" w:rsidP="00E63FB9">
      <w:pPr>
        <w:snapToGrid w:val="0"/>
        <w:ind w:firstLineChars="200" w:firstLine="480"/>
        <w:jc w:val="center"/>
        <w:rPr>
          <w:rFonts w:ascii="Times New Roman" w:hAnsi="Times New Roman"/>
          <w:sz w:val="24"/>
          <w:szCs w:val="24"/>
        </w:rPr>
      </w:pPr>
      <w:r w:rsidRPr="00E63FB9">
        <w:rPr>
          <w:rFonts w:ascii="Times New Roman" w:hAnsi="Times New Roman"/>
          <w:sz w:val="24"/>
          <w:szCs w:val="24"/>
        </w:rPr>
        <w:t>3.</w:t>
      </w:r>
      <w:r w:rsidRPr="00E63FB9">
        <w:rPr>
          <w:rFonts w:ascii="Times New Roman" w:hAnsi="Times New Roman"/>
          <w:sz w:val="24"/>
          <w:szCs w:val="24"/>
        </w:rPr>
        <w:tab/>
        <w:t>Canadian Center for Vaccinology, Dalhousie University, Halifax, Canada</w:t>
      </w:r>
    </w:p>
    <w:p w14:paraId="00F72827" w14:textId="2468D013" w:rsidR="00884B6C" w:rsidRPr="00E63FB9" w:rsidRDefault="00E63FB9" w:rsidP="00E63FB9">
      <w:pPr>
        <w:snapToGrid w:val="0"/>
        <w:ind w:firstLineChars="200" w:firstLine="480"/>
        <w:jc w:val="center"/>
        <w:rPr>
          <w:rFonts w:ascii="Times New Roman" w:hAnsi="Times New Roman"/>
          <w:sz w:val="28"/>
          <w:szCs w:val="28"/>
        </w:rPr>
      </w:pPr>
      <w:r w:rsidRPr="00E63FB9">
        <w:rPr>
          <w:rFonts w:ascii="Times New Roman" w:hAnsi="Times New Roman"/>
          <w:sz w:val="24"/>
          <w:szCs w:val="24"/>
        </w:rPr>
        <w:t>4.</w:t>
      </w:r>
      <w:r w:rsidRPr="00E63FB9">
        <w:rPr>
          <w:rFonts w:ascii="Times New Roman" w:hAnsi="Times New Roman"/>
          <w:sz w:val="24"/>
          <w:szCs w:val="24"/>
        </w:rPr>
        <w:tab/>
        <w:t>Department of Biomedical Sciences, University of Sassari, Sassari, Italy</w:t>
      </w:r>
    </w:p>
    <w:p w14:paraId="6A35DAF0" w14:textId="77777777" w:rsidR="00E63FB9" w:rsidRDefault="00E63FB9" w:rsidP="007C2C4B">
      <w:pPr>
        <w:snapToGrid w:val="0"/>
        <w:ind w:firstLineChars="200" w:firstLine="480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14:paraId="24CC106C" w14:textId="640335DA" w:rsidR="00884B6C" w:rsidRDefault="00884B6C" w:rsidP="007C2C4B">
      <w:pPr>
        <w:snapToGrid w:val="0"/>
        <w:ind w:firstLineChars="200" w:firstLine="480"/>
        <w:rPr>
          <w:rFonts w:ascii="Times New Roman" w:hAnsi="Times New Roman"/>
          <w:sz w:val="24"/>
          <w:szCs w:val="24"/>
        </w:rPr>
      </w:pPr>
      <w:r w:rsidRPr="00884B6C">
        <w:rPr>
          <w:rFonts w:ascii="Times New Roman" w:hAnsi="Times New Roman"/>
          <w:sz w:val="24"/>
          <w:szCs w:val="24"/>
        </w:rPr>
        <w:t>Human endogenous retroviruses (HERVs)</w:t>
      </w:r>
      <w:r w:rsidRPr="00884B6C">
        <w:rPr>
          <w:rFonts w:ascii="Times New Roman" w:hAnsi="Times New Roman" w:hint="eastAsia"/>
          <w:sz w:val="24"/>
          <w:szCs w:val="24"/>
        </w:rPr>
        <w:t>,</w:t>
      </w:r>
      <w:r w:rsidRPr="00884B6C">
        <w:rPr>
          <w:rFonts w:ascii="Times New Roman" w:hAnsi="Times New Roman"/>
          <w:sz w:val="24"/>
          <w:szCs w:val="24"/>
        </w:rPr>
        <w:t xml:space="preserve"> suspected to be transposition-defective, are more likely to reshape the transcriptional network of the human genome by regulatory elements distributed in their long terminal repeats (LTRs). HERV-K (HML-2), the most preserved group with the least accumulation of mutations, has been documented to be involved in tumorigenesis and autoimmune diseases. Because of the high sequence similarity between different HERV-Ks, current methods have limitations in providing genome-wide mapping specific for HERV-K (HML-2), a major barrier in delineating HERV-K (HML-2) function. In an attempt to obtain detailed distribution information of HERV-K (HML-2), we utilized a </w:t>
      </w:r>
      <w:r w:rsidRPr="00884B6C">
        <w:rPr>
          <w:rFonts w:ascii="Times New Roman" w:hAnsi="Times New Roman"/>
          <w:sz w:val="24"/>
          <w:szCs w:val="24"/>
          <w:u w:val="single"/>
        </w:rPr>
        <w:t>P</w:t>
      </w:r>
      <w:r w:rsidRPr="00884B6C">
        <w:rPr>
          <w:rFonts w:ascii="Times New Roman" w:hAnsi="Times New Roman"/>
          <w:sz w:val="24"/>
          <w:szCs w:val="24"/>
        </w:rPr>
        <w:t xml:space="preserve">CR-based </w:t>
      </w:r>
      <w:r w:rsidRPr="00884B6C">
        <w:rPr>
          <w:rFonts w:ascii="Times New Roman" w:hAnsi="Times New Roman"/>
          <w:sz w:val="24"/>
          <w:szCs w:val="24"/>
          <w:u w:val="single"/>
        </w:rPr>
        <w:t>t</w:t>
      </w:r>
      <w:r w:rsidRPr="00884B6C">
        <w:rPr>
          <w:rFonts w:ascii="Times New Roman" w:hAnsi="Times New Roman"/>
          <w:sz w:val="24"/>
          <w:szCs w:val="24"/>
        </w:rPr>
        <w:t xml:space="preserve">arget </w:t>
      </w:r>
      <w:r w:rsidRPr="00884B6C">
        <w:rPr>
          <w:rFonts w:ascii="Times New Roman" w:hAnsi="Times New Roman"/>
          <w:sz w:val="24"/>
          <w:szCs w:val="24"/>
          <w:u w:val="single"/>
        </w:rPr>
        <w:t>e</w:t>
      </w:r>
      <w:r w:rsidRPr="00884B6C">
        <w:rPr>
          <w:rFonts w:ascii="Times New Roman" w:hAnsi="Times New Roman"/>
          <w:sz w:val="24"/>
          <w:szCs w:val="24"/>
        </w:rPr>
        <w:t xml:space="preserve">nrichment </w:t>
      </w:r>
      <w:r w:rsidRPr="00884B6C">
        <w:rPr>
          <w:rFonts w:ascii="Times New Roman" w:hAnsi="Times New Roman"/>
          <w:sz w:val="24"/>
          <w:szCs w:val="24"/>
          <w:u w:val="single"/>
        </w:rPr>
        <w:t>s</w:t>
      </w:r>
      <w:r w:rsidRPr="00884B6C">
        <w:rPr>
          <w:rFonts w:ascii="Times New Roman" w:hAnsi="Times New Roman"/>
          <w:sz w:val="24"/>
          <w:szCs w:val="24"/>
        </w:rPr>
        <w:t xml:space="preserve">equencing protocol for </w:t>
      </w:r>
      <w:r w:rsidRPr="00884B6C">
        <w:rPr>
          <w:rFonts w:ascii="Times New Roman" w:hAnsi="Times New Roman"/>
          <w:sz w:val="24"/>
          <w:szCs w:val="24"/>
          <w:u w:val="single"/>
        </w:rPr>
        <w:t>H</w:t>
      </w:r>
      <w:r w:rsidRPr="00884B6C">
        <w:rPr>
          <w:rFonts w:ascii="Times New Roman" w:hAnsi="Times New Roman"/>
          <w:sz w:val="24"/>
          <w:szCs w:val="24"/>
        </w:rPr>
        <w:t>ERV-</w:t>
      </w:r>
      <w:r w:rsidRPr="00884B6C">
        <w:rPr>
          <w:rFonts w:ascii="Times New Roman" w:hAnsi="Times New Roman"/>
          <w:sz w:val="24"/>
          <w:szCs w:val="24"/>
          <w:u w:val="single"/>
        </w:rPr>
        <w:t>K</w:t>
      </w:r>
      <w:r w:rsidRPr="00884B6C">
        <w:rPr>
          <w:rFonts w:ascii="Times New Roman" w:hAnsi="Times New Roman"/>
          <w:sz w:val="24"/>
          <w:szCs w:val="24"/>
        </w:rPr>
        <w:t xml:space="preserve"> (HML-2) (PTESHK) loci, which not only maps the presence of reference loci, but also identifies non-reference loci, enabling determination of the genome-wide distribution of HERV-K (HML-2) loci. Here we report on the genomic data obtained from three individuals (3</w:t>
      </w:r>
      <w:r w:rsidRPr="00884B6C">
        <w:rPr>
          <w:rFonts w:ascii="Times New Roman" w:hAnsi="Times New Roman" w:hint="eastAsia"/>
          <w:sz w:val="24"/>
          <w:szCs w:val="24"/>
        </w:rPr>
        <w:t xml:space="preserve"> </w:t>
      </w:r>
      <w:r w:rsidRPr="00884B6C">
        <w:rPr>
          <w:rFonts w:ascii="Times New Roman" w:hAnsi="Times New Roman"/>
          <w:sz w:val="24"/>
          <w:szCs w:val="24"/>
        </w:rPr>
        <w:t xml:space="preserve">replicates each). We identified a total of 978 loci using this method, including 30 new reference loci and 5 non-reference loci. Among the 3 individuals in our study, 14 polymorphic HERV-K (HML-2) loci were identified, </w:t>
      </w:r>
      <w:bookmarkStart w:id="4" w:name="_Hlk24108623"/>
      <w:r w:rsidRPr="00884B6C">
        <w:rPr>
          <w:rFonts w:ascii="Times New Roman" w:hAnsi="Times New Roman"/>
          <w:sz w:val="24"/>
          <w:szCs w:val="24"/>
        </w:rPr>
        <w:t>and solo-LTR330 and N6p21.32 were identified as polymorphic for the first time</w:t>
      </w:r>
      <w:bookmarkEnd w:id="4"/>
      <w:r w:rsidRPr="00884B6C">
        <w:rPr>
          <w:rFonts w:ascii="Times New Roman" w:hAnsi="Times New Roman"/>
          <w:sz w:val="24"/>
          <w:szCs w:val="24"/>
        </w:rPr>
        <w:t>. Interestingly, PTESHK provides an approach for the identification of the genome-wide distribution of HERV-K (HML-2) and can be used for the identification of polymorphic loci. Since the integration polymorphism of HERV-K (HML-2) is suspected to be one of the reasons for their pathogenicity, PTESHK can supplement other emerging techniques in accessing polymorphic HERV-K (HML-2) elements in cancer and autoimmune diseases.</w:t>
      </w:r>
    </w:p>
    <w:p w14:paraId="439ED82D" w14:textId="77777777" w:rsidR="007C2C4B" w:rsidRDefault="007C2C4B" w:rsidP="007C2C4B">
      <w:pPr>
        <w:snapToGrid w:val="0"/>
        <w:ind w:firstLineChars="200" w:firstLine="480"/>
        <w:rPr>
          <w:rFonts w:ascii="Times New Roman" w:hAnsi="Times New Roman"/>
          <w:sz w:val="24"/>
          <w:szCs w:val="24"/>
        </w:rPr>
      </w:pPr>
    </w:p>
    <w:p w14:paraId="5E694937" w14:textId="3ACD5C92" w:rsidR="007C2C4B" w:rsidRDefault="007C2C4B" w:rsidP="006E75FD">
      <w:pPr>
        <w:snapToGrid w:val="0"/>
        <w:rPr>
          <w:rFonts w:ascii="Times New Roman" w:hAnsi="Times New Roman"/>
          <w:b/>
          <w:bCs/>
          <w:sz w:val="24"/>
          <w:szCs w:val="24"/>
        </w:rPr>
      </w:pPr>
      <w:r w:rsidRPr="007C2C4B">
        <w:rPr>
          <w:rFonts w:ascii="Times New Roman" w:hAnsi="Times New Roman" w:hint="eastAsia"/>
          <w:b/>
          <w:bCs/>
          <w:sz w:val="24"/>
          <w:szCs w:val="24"/>
        </w:rPr>
        <w:t>B</w:t>
      </w:r>
      <w:r w:rsidRPr="007C2C4B">
        <w:rPr>
          <w:rFonts w:ascii="Times New Roman" w:hAnsi="Times New Roman"/>
          <w:b/>
          <w:bCs/>
          <w:sz w:val="24"/>
          <w:szCs w:val="24"/>
        </w:rPr>
        <w:t>iography</w:t>
      </w:r>
    </w:p>
    <w:p w14:paraId="082A9CD3" w14:textId="77777777" w:rsidR="007C2C4B" w:rsidRDefault="007C2C4B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ei </w:t>
      </w:r>
      <w:proofErr w:type="spellStart"/>
      <w:r>
        <w:rPr>
          <w:rFonts w:ascii="Times New Roman" w:hAnsi="Times New Roman"/>
          <w:sz w:val="24"/>
          <w:szCs w:val="24"/>
        </w:rPr>
        <w:t>Xue</w:t>
      </w:r>
      <w:proofErr w:type="spellEnd"/>
      <w:r>
        <w:rPr>
          <w:rFonts w:ascii="Times New Roman" w:hAnsi="Times New Roman"/>
          <w:sz w:val="24"/>
          <w:szCs w:val="24"/>
        </w:rPr>
        <w:t xml:space="preserve"> is a PhD student of Shantou University Medical College (SUMC), majoring in immunology. Now she is performing part of her PhD project in Dalhousie University as a visiting research student.</w:t>
      </w:r>
    </w:p>
    <w:p w14:paraId="65CEF5F5" w14:textId="77777777" w:rsidR="007C2C4B" w:rsidRDefault="007C2C4B" w:rsidP="007C2C4B">
      <w:pPr>
        <w:snapToGrid w:val="0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FBEB7C2" w14:textId="77777777" w:rsidR="007C2C4B" w:rsidRPr="006E75FD" w:rsidRDefault="007C2C4B" w:rsidP="006E75FD">
      <w:pPr>
        <w:snapToGrid w:val="0"/>
        <w:rPr>
          <w:rFonts w:ascii="Times New Roman" w:hAnsi="Times New Roman"/>
          <w:b/>
          <w:bCs/>
          <w:sz w:val="24"/>
          <w:szCs w:val="24"/>
        </w:rPr>
      </w:pPr>
      <w:r w:rsidRPr="006E75FD">
        <w:rPr>
          <w:rFonts w:ascii="Times New Roman" w:hAnsi="Times New Roman" w:hint="eastAsia"/>
          <w:b/>
          <w:bCs/>
          <w:sz w:val="24"/>
          <w:szCs w:val="24"/>
        </w:rPr>
        <w:t>P</w:t>
      </w:r>
      <w:r w:rsidRPr="006E75FD">
        <w:rPr>
          <w:rFonts w:ascii="Times New Roman" w:hAnsi="Times New Roman"/>
          <w:b/>
          <w:bCs/>
          <w:sz w:val="24"/>
          <w:szCs w:val="24"/>
        </w:rPr>
        <w:t>resenting author details</w:t>
      </w:r>
    </w:p>
    <w:p w14:paraId="629C5BB3" w14:textId="77777777" w:rsidR="007C2C4B" w:rsidRDefault="007C2C4B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 xml:space="preserve">ull name: Bei </w:t>
      </w:r>
      <w:proofErr w:type="spellStart"/>
      <w:r>
        <w:rPr>
          <w:rFonts w:ascii="Times New Roman" w:hAnsi="Times New Roman"/>
          <w:sz w:val="24"/>
          <w:szCs w:val="24"/>
        </w:rPr>
        <w:t>Xue</w:t>
      </w:r>
      <w:proofErr w:type="spellEnd"/>
    </w:p>
    <w:p w14:paraId="2376D425" w14:textId="7D7F9AE4" w:rsidR="007C2C4B" w:rsidRDefault="007C2C4B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ontact number: </w:t>
      </w:r>
      <w:bookmarkEnd w:id="0"/>
      <w:bookmarkEnd w:id="1"/>
      <w:bookmarkEnd w:id="2"/>
      <w:r w:rsidR="006E75FD">
        <w:rPr>
          <w:rFonts w:ascii="Times New Roman" w:hAnsi="Times New Roman"/>
          <w:sz w:val="24"/>
          <w:szCs w:val="24"/>
        </w:rPr>
        <w:t>1</w:t>
      </w:r>
      <w:r w:rsidR="006E75FD">
        <w:rPr>
          <w:rFonts w:ascii="Times New Roman" w:hAnsi="Times New Roman" w:hint="eastAsia"/>
          <w:sz w:val="24"/>
          <w:szCs w:val="24"/>
        </w:rPr>
        <w:t>-</w:t>
      </w:r>
      <w:r w:rsidR="006E75FD">
        <w:rPr>
          <w:rFonts w:ascii="Times New Roman" w:hAnsi="Times New Roman"/>
          <w:sz w:val="24"/>
          <w:szCs w:val="24"/>
        </w:rPr>
        <w:t>902</w:t>
      </w:r>
      <w:r w:rsidR="006E75FD">
        <w:rPr>
          <w:rFonts w:ascii="Times New Roman" w:hAnsi="Times New Roman" w:hint="eastAsia"/>
          <w:sz w:val="24"/>
          <w:szCs w:val="24"/>
        </w:rPr>
        <w:t>-</w:t>
      </w:r>
      <w:r w:rsidR="006E75FD">
        <w:rPr>
          <w:rFonts w:ascii="Times New Roman" w:hAnsi="Times New Roman"/>
          <w:sz w:val="24"/>
          <w:szCs w:val="24"/>
        </w:rPr>
        <w:t>456</w:t>
      </w:r>
      <w:r w:rsidR="006E75FD">
        <w:rPr>
          <w:rFonts w:ascii="Times New Roman" w:hAnsi="Times New Roman" w:hint="eastAsia"/>
          <w:sz w:val="24"/>
          <w:szCs w:val="24"/>
        </w:rPr>
        <w:t>-</w:t>
      </w:r>
      <w:r w:rsidR="006E75FD">
        <w:rPr>
          <w:rFonts w:ascii="Times New Roman" w:hAnsi="Times New Roman"/>
          <w:sz w:val="24"/>
          <w:szCs w:val="24"/>
        </w:rPr>
        <w:t>7188</w:t>
      </w:r>
    </w:p>
    <w:p w14:paraId="23661AEF" w14:textId="037A177A" w:rsidR="006E75FD" w:rsidRDefault="006E75FD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Twitt</w:t>
      </w:r>
      <w:r>
        <w:rPr>
          <w:rFonts w:ascii="Times New Roman" w:hAnsi="Times New Roman"/>
          <w:sz w:val="24"/>
          <w:szCs w:val="24"/>
        </w:rPr>
        <w:t>er account: @</w:t>
      </w:r>
      <w:proofErr w:type="spellStart"/>
      <w:r>
        <w:rPr>
          <w:rFonts w:ascii="Times New Roman" w:hAnsi="Times New Roman"/>
          <w:sz w:val="24"/>
          <w:szCs w:val="24"/>
        </w:rPr>
        <w:t>xue_bei</w:t>
      </w:r>
      <w:proofErr w:type="spellEnd"/>
    </w:p>
    <w:p w14:paraId="7DE35CF0" w14:textId="3EFB8402" w:rsidR="006E75FD" w:rsidRDefault="006E75FD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inked In account:</w:t>
      </w:r>
    </w:p>
    <w:p w14:paraId="52041026" w14:textId="30FB6042" w:rsidR="006E75FD" w:rsidRDefault="006E75FD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ession name/ number: Next Generation Sequencing</w:t>
      </w:r>
    </w:p>
    <w:p w14:paraId="1D522306" w14:textId="5AAD2AD9" w:rsidR="006E75FD" w:rsidRDefault="006E75FD" w:rsidP="006E75FD">
      <w:pPr>
        <w:snapToGri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ategory: Oral presentation</w:t>
      </w:r>
    </w:p>
    <w:p w14:paraId="67A87C5A" w14:textId="77777777" w:rsidR="006E75FD" w:rsidRPr="00884B6C" w:rsidRDefault="006E75FD" w:rsidP="006E75FD">
      <w:pPr>
        <w:snapToGrid w:val="0"/>
        <w:rPr>
          <w:rFonts w:ascii="Times New Roman" w:hAnsi="Times New Roman" w:hint="eastAsia"/>
          <w:sz w:val="24"/>
          <w:szCs w:val="24"/>
        </w:rPr>
      </w:pPr>
    </w:p>
    <w:sectPr w:rsidR="006E75FD" w:rsidRPr="00884B6C" w:rsidSect="007C2C4B">
      <w:pgSz w:w="11906" w:h="16838"/>
      <w:pgMar w:top="851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233B9"/>
    <w:multiLevelType w:val="hybridMultilevel"/>
    <w:tmpl w:val="FBA802B6"/>
    <w:lvl w:ilvl="0" w:tplc="5C1CF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6C"/>
    <w:rsid w:val="006E75FD"/>
    <w:rsid w:val="007C2C4B"/>
    <w:rsid w:val="00884B6C"/>
    <w:rsid w:val="00E63FB9"/>
    <w:rsid w:val="00E8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738"/>
  <w15:chartTrackingRefBased/>
  <w15:docId w15:val="{70D34E52-E4D8-4357-BD4F-53F61B3D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B6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 蓓</dc:creator>
  <cp:keywords/>
  <dc:description/>
  <cp:lastModifiedBy>薛 蓓</cp:lastModifiedBy>
  <cp:revision>2</cp:revision>
  <dcterms:created xsi:type="dcterms:W3CDTF">2019-12-17T18:41:00Z</dcterms:created>
  <dcterms:modified xsi:type="dcterms:W3CDTF">2019-12-17T19:49:00Z</dcterms:modified>
</cp:coreProperties>
</file>