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25C" w:rsidRDefault="005C725C" w:rsidP="005C725C">
      <w:pPr>
        <w:spacing w:after="375" w:line="240" w:lineRule="auto"/>
        <w:jc w:val="both"/>
        <w:outlineLvl w:val="0"/>
        <w:rPr>
          <w:rFonts w:asciiTheme="majorBidi" w:eastAsia="Times New Roman" w:hAnsiTheme="majorBidi" w:cstheme="majorBidi"/>
          <w:b/>
          <w:bCs/>
          <w:kern w:val="36"/>
          <w:sz w:val="28"/>
          <w:szCs w:val="28"/>
        </w:rPr>
      </w:pPr>
      <w:proofErr w:type="spellStart"/>
      <w:r w:rsidRPr="003850AA">
        <w:rPr>
          <w:rFonts w:asciiTheme="majorBidi" w:eastAsia="Times New Roman" w:hAnsiTheme="majorBidi" w:cstheme="majorBidi"/>
          <w:b/>
          <w:bCs/>
          <w:kern w:val="36"/>
          <w:sz w:val="28"/>
          <w:szCs w:val="28"/>
        </w:rPr>
        <w:t>Radioimmunotherapy</w:t>
      </w:r>
      <w:proofErr w:type="spellEnd"/>
      <w:r w:rsidRPr="003850AA">
        <w:rPr>
          <w:rFonts w:asciiTheme="majorBidi" w:eastAsia="Times New Roman" w:hAnsiTheme="majorBidi" w:cstheme="majorBidi"/>
          <w:b/>
          <w:bCs/>
          <w:kern w:val="36"/>
          <w:sz w:val="28"/>
          <w:szCs w:val="28"/>
        </w:rPr>
        <w:t xml:space="preserve"> with I-131-Bevacizumab as a Specific Molecule for Cells with Overexpression of the Vascular Endothelial Growth Factor</w:t>
      </w:r>
    </w:p>
    <w:p w:rsidR="000B68A4" w:rsidRPr="003850AA" w:rsidRDefault="000B68A4" w:rsidP="005C725C">
      <w:pPr>
        <w:spacing w:after="375" w:line="240" w:lineRule="auto"/>
        <w:jc w:val="both"/>
        <w:outlineLvl w:val="0"/>
        <w:rPr>
          <w:rFonts w:asciiTheme="majorBidi" w:eastAsia="Times New Roman" w:hAnsiTheme="majorBidi" w:cstheme="majorBidi"/>
          <w:b/>
          <w:bCs/>
          <w:kern w:val="36"/>
          <w:sz w:val="28"/>
          <w:szCs w:val="28"/>
        </w:rPr>
      </w:pPr>
      <w:proofErr w:type="spellStart"/>
      <w:r>
        <w:rPr>
          <w:rFonts w:asciiTheme="majorBidi" w:eastAsia="Times New Roman" w:hAnsiTheme="majorBidi" w:cstheme="majorBidi"/>
          <w:b/>
          <w:bCs/>
          <w:kern w:val="36"/>
          <w:sz w:val="28"/>
          <w:szCs w:val="28"/>
        </w:rPr>
        <w:t>Saeb</w:t>
      </w:r>
      <w:proofErr w:type="spellEnd"/>
      <w:r>
        <w:rPr>
          <w:rFonts w:asciiTheme="majorBidi" w:eastAsia="Times New Roman" w:hAnsiTheme="majorBidi" w:cstheme="majorBidi"/>
          <w:b/>
          <w:bCs/>
          <w:kern w:val="36"/>
          <w:sz w:val="28"/>
          <w:szCs w:val="28"/>
        </w:rPr>
        <w:t xml:space="preserve"> </w:t>
      </w:r>
      <w:proofErr w:type="spellStart"/>
      <w:proofErr w:type="gramStart"/>
      <w:r>
        <w:rPr>
          <w:rFonts w:asciiTheme="majorBidi" w:eastAsia="Times New Roman" w:hAnsiTheme="majorBidi" w:cstheme="majorBidi"/>
          <w:b/>
          <w:bCs/>
          <w:kern w:val="36"/>
          <w:sz w:val="28"/>
          <w:szCs w:val="28"/>
        </w:rPr>
        <w:t>ahmadashrafi</w:t>
      </w:r>
      <w:bookmarkStart w:id="0" w:name="_GoBack"/>
      <w:bookmarkEnd w:id="0"/>
      <w:proofErr w:type="spellEnd"/>
      <w:r>
        <w:rPr>
          <w:rFonts w:asciiTheme="majorBidi" w:eastAsia="Times New Roman" w:hAnsiTheme="majorBidi" w:cstheme="majorBidi"/>
          <w:b/>
          <w:bCs/>
          <w:kern w:val="36"/>
          <w:sz w:val="28"/>
          <w:szCs w:val="28"/>
        </w:rPr>
        <w:t xml:space="preserve"> ,</w:t>
      </w:r>
      <w:proofErr w:type="gramEnd"/>
      <w:r>
        <w:rPr>
          <w:rFonts w:asciiTheme="majorBidi" w:eastAsia="Times New Roman" w:hAnsiTheme="majorBidi" w:cstheme="majorBidi"/>
          <w:b/>
          <w:bCs/>
          <w:kern w:val="36"/>
          <w:sz w:val="28"/>
          <w:szCs w:val="28"/>
        </w:rPr>
        <w:t xml:space="preserve"> </w:t>
      </w:r>
      <w:proofErr w:type="spellStart"/>
      <w:r>
        <w:rPr>
          <w:rFonts w:asciiTheme="majorBidi" w:eastAsia="Times New Roman" w:hAnsiTheme="majorBidi" w:cstheme="majorBidi"/>
          <w:b/>
          <w:bCs/>
          <w:kern w:val="36"/>
          <w:sz w:val="28"/>
          <w:szCs w:val="28"/>
        </w:rPr>
        <w:t>Mehrnaz</w:t>
      </w:r>
      <w:proofErr w:type="spellEnd"/>
      <w:r>
        <w:rPr>
          <w:rFonts w:asciiTheme="majorBidi" w:eastAsia="Times New Roman" w:hAnsiTheme="majorBidi" w:cstheme="majorBidi"/>
          <w:b/>
          <w:bCs/>
          <w:kern w:val="36"/>
          <w:sz w:val="28"/>
          <w:szCs w:val="28"/>
        </w:rPr>
        <w:t xml:space="preserve"> </w:t>
      </w:r>
      <w:proofErr w:type="spellStart"/>
      <w:r>
        <w:rPr>
          <w:rFonts w:asciiTheme="majorBidi" w:eastAsia="Times New Roman" w:hAnsiTheme="majorBidi" w:cstheme="majorBidi"/>
          <w:b/>
          <w:bCs/>
          <w:kern w:val="36"/>
          <w:sz w:val="28"/>
          <w:szCs w:val="28"/>
        </w:rPr>
        <w:t>barandeh</w:t>
      </w:r>
      <w:proofErr w:type="spellEnd"/>
    </w:p>
    <w:p w:rsidR="0001565D" w:rsidRPr="0001565D" w:rsidRDefault="0001565D" w:rsidP="0001565D">
      <w:pPr>
        <w:shd w:val="clear" w:color="auto" w:fill="FFFFFF"/>
        <w:spacing w:after="0" w:line="330" w:lineRule="atLeast"/>
        <w:rPr>
          <w:rFonts w:asciiTheme="majorBidi" w:eastAsia="Times New Roman" w:hAnsiTheme="majorBidi" w:cstheme="majorBidi"/>
          <w:sz w:val="24"/>
          <w:szCs w:val="24"/>
        </w:rPr>
      </w:pPr>
      <w:r w:rsidRPr="0001565D">
        <w:rPr>
          <w:rFonts w:asciiTheme="majorBidi" w:eastAsia="Times New Roman" w:hAnsiTheme="majorBidi" w:cstheme="majorBidi"/>
          <w:sz w:val="24"/>
          <w:szCs w:val="24"/>
        </w:rPr>
        <w:t xml:space="preserve">Department of </w:t>
      </w:r>
      <w:proofErr w:type="spellStart"/>
      <w:r w:rsidRPr="0001565D">
        <w:rPr>
          <w:rFonts w:asciiTheme="majorBidi" w:eastAsia="Times New Roman" w:hAnsiTheme="majorBidi" w:cstheme="majorBidi"/>
          <w:sz w:val="24"/>
          <w:szCs w:val="24"/>
        </w:rPr>
        <w:t>Radiopharmacy</w:t>
      </w:r>
      <w:proofErr w:type="spellEnd"/>
      <w:r w:rsidRPr="0001565D">
        <w:rPr>
          <w:rFonts w:asciiTheme="majorBidi" w:eastAsia="Times New Roman" w:hAnsiTheme="majorBidi" w:cstheme="majorBidi"/>
          <w:sz w:val="24"/>
          <w:szCs w:val="24"/>
        </w:rPr>
        <w:t xml:space="preserve">, Faculty of Pharmacy, </w:t>
      </w:r>
      <w:proofErr w:type="spellStart"/>
      <w:r w:rsidRPr="0001565D">
        <w:rPr>
          <w:rFonts w:asciiTheme="majorBidi" w:eastAsia="Times New Roman" w:hAnsiTheme="majorBidi" w:cstheme="majorBidi"/>
          <w:sz w:val="24"/>
          <w:szCs w:val="24"/>
        </w:rPr>
        <w:t>Mazandaran</w:t>
      </w:r>
      <w:proofErr w:type="spellEnd"/>
      <w:r w:rsidRPr="0001565D">
        <w:rPr>
          <w:rFonts w:asciiTheme="majorBidi" w:eastAsia="Times New Roman" w:hAnsiTheme="majorBidi" w:cstheme="majorBidi"/>
          <w:sz w:val="24"/>
          <w:szCs w:val="24"/>
        </w:rPr>
        <w:t xml:space="preserve"> University of Medical Sciences, Sari, Iran.</w:t>
      </w:r>
    </w:p>
    <w:p w:rsidR="0001565D" w:rsidRPr="003850AA" w:rsidRDefault="0001565D" w:rsidP="0001565D">
      <w:pPr>
        <w:spacing w:after="375" w:line="240" w:lineRule="auto"/>
        <w:jc w:val="both"/>
        <w:outlineLvl w:val="0"/>
        <w:rPr>
          <w:rFonts w:asciiTheme="majorBidi" w:eastAsia="Times New Roman" w:hAnsiTheme="majorBidi" w:cstheme="majorBidi"/>
          <w:kern w:val="36"/>
          <w:sz w:val="24"/>
          <w:szCs w:val="24"/>
        </w:rPr>
      </w:pPr>
      <w:proofErr w:type="gramStart"/>
      <w:r w:rsidRPr="003850AA">
        <w:rPr>
          <w:rFonts w:asciiTheme="majorBidi" w:eastAsia="Times New Roman" w:hAnsiTheme="majorBidi" w:cstheme="majorBidi"/>
          <w:kern w:val="36"/>
          <w:sz w:val="24"/>
          <w:szCs w:val="24"/>
        </w:rPr>
        <w:t>Keywords :</w:t>
      </w:r>
      <w:proofErr w:type="gramEnd"/>
      <w:r w:rsidRPr="003850AA">
        <w:rPr>
          <w:rFonts w:asciiTheme="majorBidi" w:eastAsia="Times New Roman" w:hAnsiTheme="majorBidi" w:cstheme="majorBidi"/>
          <w:kern w:val="36"/>
          <w:sz w:val="24"/>
          <w:szCs w:val="24"/>
        </w:rPr>
        <w:t xml:space="preserve"> </w:t>
      </w:r>
      <w:proofErr w:type="spellStart"/>
      <w:r w:rsidRPr="003850AA">
        <w:rPr>
          <w:rFonts w:asciiTheme="majorBidi" w:eastAsia="Times New Roman" w:hAnsiTheme="majorBidi" w:cstheme="majorBidi"/>
          <w:kern w:val="36"/>
          <w:sz w:val="24"/>
          <w:szCs w:val="24"/>
        </w:rPr>
        <w:t>Radioimmunotherapy</w:t>
      </w:r>
      <w:proofErr w:type="spellEnd"/>
      <w:r w:rsidRPr="003850AA">
        <w:rPr>
          <w:rFonts w:asciiTheme="majorBidi" w:eastAsia="Times New Roman" w:hAnsiTheme="majorBidi" w:cstheme="majorBidi"/>
          <w:kern w:val="36"/>
          <w:sz w:val="24"/>
          <w:szCs w:val="24"/>
        </w:rPr>
        <w:t xml:space="preserve"> , I-131-Bevacizumab , Vascular Endothelial Growth Factor</w:t>
      </w:r>
    </w:p>
    <w:p w:rsidR="003850AA" w:rsidRPr="003850AA" w:rsidRDefault="005C725C" w:rsidP="003850AA">
      <w:pPr>
        <w:jc w:val="both"/>
        <w:rPr>
          <w:rFonts w:asciiTheme="majorBidi" w:hAnsiTheme="majorBidi" w:cstheme="majorBidi"/>
          <w:sz w:val="24"/>
          <w:szCs w:val="24"/>
          <w:shd w:val="clear" w:color="auto" w:fill="FFFFFF"/>
        </w:rPr>
      </w:pPr>
      <w:r w:rsidRPr="003850AA">
        <w:rPr>
          <w:rFonts w:asciiTheme="majorBidi" w:hAnsiTheme="majorBidi" w:cstheme="majorBidi"/>
          <w:sz w:val="24"/>
          <w:szCs w:val="24"/>
          <w:shd w:val="clear" w:color="auto" w:fill="FFFFFF"/>
        </w:rPr>
        <w:t xml:space="preserve">Abstract </w:t>
      </w:r>
      <w:proofErr w:type="spellStart"/>
      <w:r w:rsidRPr="003850AA">
        <w:rPr>
          <w:rFonts w:asciiTheme="majorBidi" w:hAnsiTheme="majorBidi" w:cstheme="majorBidi"/>
          <w:sz w:val="24"/>
          <w:szCs w:val="24"/>
          <w:shd w:val="clear" w:color="auto" w:fill="FFFFFF"/>
        </w:rPr>
        <w:t>Bevacizumab</w:t>
      </w:r>
      <w:proofErr w:type="spellEnd"/>
      <w:r w:rsidRPr="003850AA">
        <w:rPr>
          <w:rFonts w:asciiTheme="majorBidi" w:hAnsiTheme="majorBidi" w:cstheme="majorBidi"/>
          <w:sz w:val="24"/>
          <w:szCs w:val="24"/>
          <w:shd w:val="clear" w:color="auto" w:fill="FFFFFF"/>
        </w:rPr>
        <w:t xml:space="preserve"> is a humanized monoclonal antibody that inhibits vascular endothelial growth factor A and is used for the treatment of several cancers. We labeled this monoclonal antibody with Iodine-131 ((131</w:t>
      </w:r>
      <w:proofErr w:type="gramStart"/>
      <w:r w:rsidRPr="003850AA">
        <w:rPr>
          <w:rFonts w:asciiTheme="majorBidi" w:hAnsiTheme="majorBidi" w:cstheme="majorBidi"/>
          <w:sz w:val="24"/>
          <w:szCs w:val="24"/>
          <w:shd w:val="clear" w:color="auto" w:fill="FFFFFF"/>
        </w:rPr>
        <w:t>)I</w:t>
      </w:r>
      <w:proofErr w:type="gramEnd"/>
      <w:r w:rsidRPr="003850AA">
        <w:rPr>
          <w:rFonts w:asciiTheme="majorBidi" w:hAnsiTheme="majorBidi" w:cstheme="majorBidi"/>
          <w:sz w:val="24"/>
          <w:szCs w:val="24"/>
          <w:shd w:val="clear" w:color="auto" w:fill="FFFFFF"/>
        </w:rPr>
        <w:t xml:space="preserve">) and performed in vitro quality control and tumor cell growth inhibition tests. </w:t>
      </w:r>
      <w:proofErr w:type="spellStart"/>
      <w:r w:rsidRPr="003850AA">
        <w:rPr>
          <w:rFonts w:asciiTheme="majorBidi" w:hAnsiTheme="majorBidi" w:cstheme="majorBidi"/>
          <w:sz w:val="24"/>
          <w:szCs w:val="24"/>
          <w:shd w:val="clear" w:color="auto" w:fill="FFFFFF"/>
        </w:rPr>
        <w:t>Bevacizumab</w:t>
      </w:r>
      <w:proofErr w:type="spellEnd"/>
      <w:r w:rsidRPr="003850AA">
        <w:rPr>
          <w:rFonts w:asciiTheme="majorBidi" w:hAnsiTheme="majorBidi" w:cstheme="majorBidi"/>
          <w:sz w:val="24"/>
          <w:szCs w:val="24"/>
          <w:shd w:val="clear" w:color="auto" w:fill="FFFFFF"/>
        </w:rPr>
        <w:t xml:space="preserve"> was labeled with (131</w:t>
      </w:r>
      <w:proofErr w:type="gramStart"/>
      <w:r w:rsidRPr="003850AA">
        <w:rPr>
          <w:rFonts w:asciiTheme="majorBidi" w:hAnsiTheme="majorBidi" w:cstheme="majorBidi"/>
          <w:sz w:val="24"/>
          <w:szCs w:val="24"/>
          <w:shd w:val="clear" w:color="auto" w:fill="FFFFFF"/>
        </w:rPr>
        <w:t>)I</w:t>
      </w:r>
      <w:proofErr w:type="gramEnd"/>
      <w:r w:rsidRPr="003850AA">
        <w:rPr>
          <w:rFonts w:asciiTheme="majorBidi" w:hAnsiTheme="majorBidi" w:cstheme="majorBidi"/>
          <w:sz w:val="24"/>
          <w:szCs w:val="24"/>
          <w:shd w:val="clear" w:color="auto" w:fill="FFFFFF"/>
        </w:rPr>
        <w:t xml:space="preserve"> using chloramine T. Radiochemical purity and stability in phosphate-buffered saline and human blood serum were determined using thin-layer chromatography and radio-sodium dodecyl sulfate-polyacrylamide gel electrophoresis, respectively, performed at different times. Cell-specific binding, internalization, and toxicity of the radiolabeled antibody were tested using the SKOV-3 ovarian cancer cell line. The </w:t>
      </w:r>
      <w:proofErr w:type="spellStart"/>
      <w:r w:rsidRPr="003850AA">
        <w:rPr>
          <w:rFonts w:asciiTheme="majorBidi" w:hAnsiTheme="majorBidi" w:cstheme="majorBidi"/>
          <w:sz w:val="24"/>
          <w:szCs w:val="24"/>
          <w:shd w:val="clear" w:color="auto" w:fill="FFFFFF"/>
        </w:rPr>
        <w:t>biodistribution</w:t>
      </w:r>
      <w:proofErr w:type="spellEnd"/>
      <w:r w:rsidRPr="003850AA">
        <w:rPr>
          <w:rFonts w:asciiTheme="majorBidi" w:hAnsiTheme="majorBidi" w:cstheme="majorBidi"/>
          <w:sz w:val="24"/>
          <w:szCs w:val="24"/>
          <w:shd w:val="clear" w:color="auto" w:fill="FFFFFF"/>
        </w:rPr>
        <w:t xml:space="preserve"> of (131</w:t>
      </w:r>
      <w:proofErr w:type="gramStart"/>
      <w:r w:rsidRPr="003850AA">
        <w:rPr>
          <w:rFonts w:asciiTheme="majorBidi" w:hAnsiTheme="majorBidi" w:cstheme="majorBidi"/>
          <w:sz w:val="24"/>
          <w:szCs w:val="24"/>
          <w:shd w:val="clear" w:color="auto" w:fill="FFFFFF"/>
        </w:rPr>
        <w:t>)I</w:t>
      </w:r>
      <w:proofErr w:type="gramEnd"/>
      <w:r w:rsidRPr="003850AA">
        <w:rPr>
          <w:rFonts w:asciiTheme="majorBidi" w:hAnsiTheme="majorBidi" w:cstheme="majorBidi"/>
          <w:sz w:val="24"/>
          <w:szCs w:val="24"/>
          <w:shd w:val="clear" w:color="auto" w:fill="FFFFFF"/>
        </w:rPr>
        <w:t>-</w:t>
      </w:r>
      <w:proofErr w:type="spellStart"/>
      <w:r w:rsidRPr="003850AA">
        <w:rPr>
          <w:rFonts w:asciiTheme="majorBidi" w:hAnsiTheme="majorBidi" w:cstheme="majorBidi"/>
          <w:sz w:val="24"/>
          <w:szCs w:val="24"/>
          <w:shd w:val="clear" w:color="auto" w:fill="FFFFFF"/>
        </w:rPr>
        <w:t>bevacizumab</w:t>
      </w:r>
      <w:proofErr w:type="spellEnd"/>
      <w:r w:rsidRPr="003850AA">
        <w:rPr>
          <w:rFonts w:asciiTheme="majorBidi" w:hAnsiTheme="majorBidi" w:cstheme="majorBidi"/>
          <w:sz w:val="24"/>
          <w:szCs w:val="24"/>
          <w:shd w:val="clear" w:color="auto" w:fill="FFFFFF"/>
        </w:rPr>
        <w:t xml:space="preserve"> was investigated using male mice. The radiochemical purity of the complex was 99%±0.7%. Its stability in phosphate-buffered saline and human blood serum at 48 hours </w:t>
      </w:r>
      <w:proofErr w:type="spellStart"/>
      <w:r w:rsidRPr="003850AA">
        <w:rPr>
          <w:rFonts w:asciiTheme="majorBidi" w:hAnsiTheme="majorBidi" w:cstheme="majorBidi"/>
          <w:sz w:val="24"/>
          <w:szCs w:val="24"/>
          <w:shd w:val="clear" w:color="auto" w:fill="FFFFFF"/>
        </w:rPr>
        <w:t>postpreparation</w:t>
      </w:r>
      <w:proofErr w:type="spellEnd"/>
      <w:r w:rsidRPr="003850AA">
        <w:rPr>
          <w:rFonts w:asciiTheme="majorBidi" w:hAnsiTheme="majorBidi" w:cstheme="majorBidi"/>
          <w:sz w:val="24"/>
          <w:szCs w:val="24"/>
          <w:shd w:val="clear" w:color="auto" w:fill="FFFFFF"/>
        </w:rPr>
        <w:t xml:space="preserve"> was 78%±1.2% and 93%±0.6%, respectively. (131)I-</w:t>
      </w:r>
      <w:proofErr w:type="spellStart"/>
      <w:r w:rsidRPr="003850AA">
        <w:rPr>
          <w:rFonts w:asciiTheme="majorBidi" w:hAnsiTheme="majorBidi" w:cstheme="majorBidi"/>
          <w:sz w:val="24"/>
          <w:szCs w:val="24"/>
          <w:shd w:val="clear" w:color="auto" w:fill="FFFFFF"/>
        </w:rPr>
        <w:t>bevacizumab</w:t>
      </w:r>
      <w:proofErr w:type="spellEnd"/>
      <w:r w:rsidRPr="003850AA">
        <w:rPr>
          <w:rFonts w:asciiTheme="majorBidi" w:hAnsiTheme="majorBidi" w:cstheme="majorBidi"/>
          <w:sz w:val="24"/>
          <w:szCs w:val="24"/>
          <w:shd w:val="clear" w:color="auto" w:fill="FFFFFF"/>
        </w:rPr>
        <w:t xml:space="preserve"> was significantly bound to SKOV-3. The internalization of (131</w:t>
      </w:r>
      <w:proofErr w:type="gramStart"/>
      <w:r w:rsidRPr="003850AA">
        <w:rPr>
          <w:rFonts w:asciiTheme="majorBidi" w:hAnsiTheme="majorBidi" w:cstheme="majorBidi"/>
          <w:sz w:val="24"/>
          <w:szCs w:val="24"/>
          <w:shd w:val="clear" w:color="auto" w:fill="FFFFFF"/>
        </w:rPr>
        <w:t>)I</w:t>
      </w:r>
      <w:proofErr w:type="gramEnd"/>
      <w:r w:rsidRPr="003850AA">
        <w:rPr>
          <w:rFonts w:asciiTheme="majorBidi" w:hAnsiTheme="majorBidi" w:cstheme="majorBidi"/>
          <w:sz w:val="24"/>
          <w:szCs w:val="24"/>
          <w:shd w:val="clear" w:color="auto" w:fill="FFFFFF"/>
        </w:rPr>
        <w:t>-</w:t>
      </w:r>
      <w:proofErr w:type="spellStart"/>
      <w:r w:rsidRPr="003850AA">
        <w:rPr>
          <w:rFonts w:asciiTheme="majorBidi" w:hAnsiTheme="majorBidi" w:cstheme="majorBidi"/>
          <w:sz w:val="24"/>
          <w:szCs w:val="24"/>
          <w:shd w:val="clear" w:color="auto" w:fill="FFFFFF"/>
        </w:rPr>
        <w:t>bevacizumab</w:t>
      </w:r>
      <w:proofErr w:type="spellEnd"/>
      <w:r w:rsidRPr="003850AA">
        <w:rPr>
          <w:rFonts w:asciiTheme="majorBidi" w:hAnsiTheme="majorBidi" w:cstheme="majorBidi"/>
          <w:sz w:val="24"/>
          <w:szCs w:val="24"/>
          <w:shd w:val="clear" w:color="auto" w:fill="FFFFFF"/>
        </w:rPr>
        <w:t xml:space="preserve"> was time dependent, and it was cleared from the blood after 24 hours. Significant reductions in SKOV-3 cell viability were achieved with (131</w:t>
      </w:r>
      <w:proofErr w:type="gramStart"/>
      <w:r w:rsidRPr="003850AA">
        <w:rPr>
          <w:rFonts w:asciiTheme="majorBidi" w:hAnsiTheme="majorBidi" w:cstheme="majorBidi"/>
          <w:sz w:val="24"/>
          <w:szCs w:val="24"/>
          <w:shd w:val="clear" w:color="auto" w:fill="FFFFFF"/>
        </w:rPr>
        <w:t>)I</w:t>
      </w:r>
      <w:proofErr w:type="gramEnd"/>
      <w:r w:rsidRPr="003850AA">
        <w:rPr>
          <w:rFonts w:asciiTheme="majorBidi" w:hAnsiTheme="majorBidi" w:cstheme="majorBidi"/>
          <w:sz w:val="24"/>
          <w:szCs w:val="24"/>
          <w:shd w:val="clear" w:color="auto" w:fill="FFFFFF"/>
        </w:rPr>
        <w:t>-</w:t>
      </w:r>
      <w:proofErr w:type="spellStart"/>
      <w:r w:rsidRPr="003850AA">
        <w:rPr>
          <w:rFonts w:asciiTheme="majorBidi" w:hAnsiTheme="majorBidi" w:cstheme="majorBidi"/>
          <w:sz w:val="24"/>
          <w:szCs w:val="24"/>
          <w:shd w:val="clear" w:color="auto" w:fill="FFFFFF"/>
        </w:rPr>
        <w:t>bevacizumab</w:t>
      </w:r>
      <w:proofErr w:type="spellEnd"/>
      <w:r w:rsidRPr="003850AA">
        <w:rPr>
          <w:rFonts w:asciiTheme="majorBidi" w:hAnsiTheme="majorBidi" w:cstheme="majorBidi"/>
          <w:sz w:val="24"/>
          <w:szCs w:val="24"/>
          <w:shd w:val="clear" w:color="auto" w:fill="FFFFFF"/>
        </w:rPr>
        <w:t xml:space="preserve"> at a concentration of 500 </w:t>
      </w:r>
      <w:proofErr w:type="spellStart"/>
      <w:r w:rsidRPr="003850AA">
        <w:rPr>
          <w:rFonts w:asciiTheme="majorBidi" w:hAnsiTheme="majorBidi" w:cstheme="majorBidi"/>
          <w:sz w:val="24"/>
          <w:szCs w:val="24"/>
          <w:shd w:val="clear" w:color="auto" w:fill="FFFFFF"/>
        </w:rPr>
        <w:t>nM</w:t>
      </w:r>
      <w:proofErr w:type="spellEnd"/>
      <w:r w:rsidRPr="003850AA">
        <w:rPr>
          <w:rFonts w:asciiTheme="majorBidi" w:hAnsiTheme="majorBidi" w:cstheme="majorBidi"/>
          <w:sz w:val="24"/>
          <w:szCs w:val="24"/>
          <w:shd w:val="clear" w:color="auto" w:fill="FFFFFF"/>
        </w:rPr>
        <w:t>. A low accumulation of (131</w:t>
      </w:r>
      <w:proofErr w:type="gramStart"/>
      <w:r w:rsidRPr="003850AA">
        <w:rPr>
          <w:rFonts w:asciiTheme="majorBidi" w:hAnsiTheme="majorBidi" w:cstheme="majorBidi"/>
          <w:sz w:val="24"/>
          <w:szCs w:val="24"/>
          <w:shd w:val="clear" w:color="auto" w:fill="FFFFFF"/>
        </w:rPr>
        <w:t>)I</w:t>
      </w:r>
      <w:proofErr w:type="gramEnd"/>
      <w:r w:rsidRPr="003850AA">
        <w:rPr>
          <w:rFonts w:asciiTheme="majorBidi" w:hAnsiTheme="majorBidi" w:cstheme="majorBidi"/>
          <w:sz w:val="24"/>
          <w:szCs w:val="24"/>
          <w:shd w:val="clear" w:color="auto" w:fill="FFFFFF"/>
        </w:rPr>
        <w:t>-</w:t>
      </w:r>
      <w:proofErr w:type="spellStart"/>
      <w:r w:rsidRPr="003850AA">
        <w:rPr>
          <w:rFonts w:asciiTheme="majorBidi" w:hAnsiTheme="majorBidi" w:cstheme="majorBidi"/>
          <w:sz w:val="24"/>
          <w:szCs w:val="24"/>
          <w:shd w:val="clear" w:color="auto" w:fill="FFFFFF"/>
        </w:rPr>
        <w:t>bevacizumab</w:t>
      </w:r>
      <w:proofErr w:type="spellEnd"/>
      <w:r w:rsidRPr="003850AA">
        <w:rPr>
          <w:rFonts w:asciiTheme="majorBidi" w:hAnsiTheme="majorBidi" w:cstheme="majorBidi"/>
          <w:sz w:val="24"/>
          <w:szCs w:val="24"/>
          <w:shd w:val="clear" w:color="auto" w:fill="FFFFFF"/>
        </w:rPr>
        <w:t xml:space="preserve"> was observed in the stomach and salivary glands after 24 hours and 48 hours. These findings indicate that the new radiolabeled antibody should be further evaluated in animals and, possibly, in humans as a new radiopharmaceutical agent for use in </w:t>
      </w:r>
      <w:proofErr w:type="spellStart"/>
      <w:r w:rsidRPr="003850AA">
        <w:rPr>
          <w:rFonts w:asciiTheme="majorBidi" w:hAnsiTheme="majorBidi" w:cstheme="majorBidi"/>
          <w:sz w:val="24"/>
          <w:szCs w:val="24"/>
          <w:shd w:val="clear" w:color="auto" w:fill="FFFFFF"/>
        </w:rPr>
        <w:t>radioimmunotherapy</w:t>
      </w:r>
      <w:proofErr w:type="spellEnd"/>
      <w:r w:rsidRPr="003850AA">
        <w:rPr>
          <w:rFonts w:asciiTheme="majorBidi" w:hAnsiTheme="majorBidi" w:cstheme="majorBidi"/>
          <w:sz w:val="24"/>
          <w:szCs w:val="24"/>
          <w:shd w:val="clear" w:color="auto" w:fill="FFFFFF"/>
        </w:rPr>
        <w:t xml:space="preserve"> for ovarian cancer.</w:t>
      </w:r>
    </w:p>
    <w:p w:rsidR="003850AA" w:rsidRPr="003850AA" w:rsidRDefault="003850AA" w:rsidP="003850AA">
      <w:pPr>
        <w:spacing w:after="375" w:line="240" w:lineRule="auto"/>
        <w:jc w:val="both"/>
        <w:outlineLvl w:val="0"/>
        <w:rPr>
          <w:rFonts w:asciiTheme="majorBidi" w:hAnsiTheme="majorBidi" w:cstheme="majorBidi"/>
          <w:b/>
          <w:sz w:val="24"/>
          <w:szCs w:val="24"/>
          <w:lang w:val="en-IN" w:eastAsia="en-IN"/>
        </w:rPr>
      </w:pPr>
      <w:proofErr w:type="gramStart"/>
      <w:r w:rsidRPr="003850AA">
        <w:rPr>
          <w:rFonts w:asciiTheme="majorBidi" w:hAnsiTheme="majorBidi" w:cstheme="majorBidi"/>
          <w:b/>
          <w:sz w:val="24"/>
          <w:szCs w:val="24"/>
          <w:lang w:val="en-IN" w:eastAsia="en-IN"/>
        </w:rPr>
        <w:t>Biography :</w:t>
      </w:r>
      <w:proofErr w:type="gramEnd"/>
    </w:p>
    <w:p w:rsidR="003850AA" w:rsidRPr="003850AA" w:rsidRDefault="003850AA" w:rsidP="003850AA">
      <w:pPr>
        <w:spacing w:after="375" w:line="240" w:lineRule="auto"/>
        <w:jc w:val="both"/>
        <w:outlineLvl w:val="0"/>
        <w:rPr>
          <w:rFonts w:asciiTheme="majorBidi" w:eastAsia="Times New Roman" w:hAnsiTheme="majorBidi" w:cstheme="majorBidi"/>
          <w:kern w:val="36"/>
          <w:sz w:val="24"/>
          <w:szCs w:val="24"/>
        </w:rPr>
      </w:pPr>
      <w:proofErr w:type="spellStart"/>
      <w:r w:rsidRPr="003850AA">
        <w:rPr>
          <w:rFonts w:asciiTheme="majorBidi" w:eastAsia="Times New Roman" w:hAnsiTheme="majorBidi" w:cstheme="majorBidi"/>
          <w:kern w:val="36"/>
          <w:sz w:val="24"/>
          <w:szCs w:val="24"/>
        </w:rPr>
        <w:t>Saeb</w:t>
      </w:r>
      <w:proofErr w:type="spellEnd"/>
      <w:r w:rsidRPr="003850AA">
        <w:rPr>
          <w:rFonts w:asciiTheme="majorBidi" w:eastAsia="Times New Roman" w:hAnsiTheme="majorBidi" w:cstheme="majorBidi"/>
          <w:kern w:val="36"/>
          <w:sz w:val="24"/>
          <w:szCs w:val="24"/>
        </w:rPr>
        <w:t xml:space="preserve"> </w:t>
      </w:r>
      <w:proofErr w:type="spellStart"/>
      <w:r w:rsidRPr="003850AA">
        <w:rPr>
          <w:rFonts w:asciiTheme="majorBidi" w:eastAsia="Times New Roman" w:hAnsiTheme="majorBidi" w:cstheme="majorBidi"/>
          <w:kern w:val="36"/>
          <w:sz w:val="24"/>
          <w:szCs w:val="24"/>
        </w:rPr>
        <w:t>ahmadashrafi</w:t>
      </w:r>
      <w:proofErr w:type="spellEnd"/>
      <w:r w:rsidRPr="003850AA">
        <w:rPr>
          <w:rFonts w:asciiTheme="majorBidi" w:eastAsia="Times New Roman" w:hAnsiTheme="majorBidi" w:cstheme="majorBidi"/>
          <w:kern w:val="36"/>
          <w:sz w:val="24"/>
          <w:szCs w:val="24"/>
        </w:rPr>
        <w:t xml:space="preserve"> has completed his </w:t>
      </w:r>
      <w:proofErr w:type="spellStart"/>
      <w:r w:rsidRPr="003850AA">
        <w:rPr>
          <w:rFonts w:asciiTheme="majorBidi" w:eastAsia="Times New Roman" w:hAnsiTheme="majorBidi" w:cstheme="majorBidi"/>
          <w:kern w:val="36"/>
          <w:sz w:val="24"/>
          <w:szCs w:val="24"/>
        </w:rPr>
        <w:t>pharm</w:t>
      </w:r>
      <w:proofErr w:type="gramStart"/>
      <w:r w:rsidRPr="003850AA">
        <w:rPr>
          <w:rFonts w:asciiTheme="majorBidi" w:eastAsia="Times New Roman" w:hAnsiTheme="majorBidi" w:cstheme="majorBidi"/>
          <w:kern w:val="36"/>
          <w:sz w:val="24"/>
          <w:szCs w:val="24"/>
        </w:rPr>
        <w:t>,D</w:t>
      </w:r>
      <w:proofErr w:type="spellEnd"/>
      <w:proofErr w:type="gramEnd"/>
      <w:r w:rsidRPr="003850AA">
        <w:rPr>
          <w:rFonts w:asciiTheme="majorBidi" w:eastAsia="Times New Roman" w:hAnsiTheme="majorBidi" w:cstheme="majorBidi"/>
          <w:kern w:val="36"/>
          <w:sz w:val="24"/>
          <w:szCs w:val="24"/>
        </w:rPr>
        <w:t xml:space="preserve"> at the age of 25 years from </w:t>
      </w:r>
      <w:proofErr w:type="spellStart"/>
      <w:r w:rsidRPr="003850AA">
        <w:rPr>
          <w:rFonts w:asciiTheme="majorBidi" w:eastAsia="Times New Roman" w:hAnsiTheme="majorBidi" w:cstheme="majorBidi"/>
          <w:kern w:val="36"/>
          <w:sz w:val="24"/>
          <w:szCs w:val="24"/>
        </w:rPr>
        <w:t>mazandaran</w:t>
      </w:r>
      <w:proofErr w:type="spellEnd"/>
      <w:r w:rsidRPr="003850AA">
        <w:rPr>
          <w:rFonts w:asciiTheme="majorBidi" w:eastAsia="Times New Roman" w:hAnsiTheme="majorBidi" w:cstheme="majorBidi"/>
          <w:kern w:val="36"/>
          <w:sz w:val="24"/>
          <w:szCs w:val="24"/>
        </w:rPr>
        <w:t xml:space="preserve"> university of medical </w:t>
      </w:r>
      <w:proofErr w:type="spellStart"/>
      <w:r w:rsidRPr="003850AA">
        <w:rPr>
          <w:rFonts w:asciiTheme="majorBidi" w:eastAsia="Times New Roman" w:hAnsiTheme="majorBidi" w:cstheme="majorBidi"/>
          <w:kern w:val="36"/>
          <w:sz w:val="24"/>
          <w:szCs w:val="24"/>
        </w:rPr>
        <w:t>sciences,facult</w:t>
      </w:r>
      <w:proofErr w:type="spellEnd"/>
      <w:r w:rsidRPr="003850AA">
        <w:rPr>
          <w:rFonts w:asciiTheme="majorBidi" w:eastAsia="Times New Roman" w:hAnsiTheme="majorBidi" w:cstheme="majorBidi"/>
          <w:kern w:val="36"/>
          <w:sz w:val="24"/>
          <w:szCs w:val="24"/>
        </w:rPr>
        <w:t xml:space="preserve"> of pharmacy. He has published 3 paper in reputed journals. He participated 2 </w:t>
      </w:r>
      <w:proofErr w:type="spellStart"/>
      <w:r w:rsidRPr="003850AA">
        <w:rPr>
          <w:rFonts w:asciiTheme="majorBidi" w:eastAsia="Times New Roman" w:hAnsiTheme="majorBidi" w:cstheme="majorBidi"/>
          <w:kern w:val="36"/>
          <w:sz w:val="24"/>
          <w:szCs w:val="24"/>
        </w:rPr>
        <w:t>intenational</w:t>
      </w:r>
      <w:proofErr w:type="spellEnd"/>
      <w:r w:rsidRPr="003850AA">
        <w:rPr>
          <w:rFonts w:asciiTheme="majorBidi" w:eastAsia="Times New Roman" w:hAnsiTheme="majorBidi" w:cstheme="majorBidi"/>
          <w:kern w:val="36"/>
          <w:sz w:val="24"/>
          <w:szCs w:val="24"/>
        </w:rPr>
        <w:t xml:space="preserve"> medical congress in Netherlands and Germany as a presenter.</w:t>
      </w:r>
    </w:p>
    <w:p w:rsidR="003850AA" w:rsidRPr="003850AA" w:rsidRDefault="003850AA" w:rsidP="003850AA">
      <w:pPr>
        <w:autoSpaceDE w:val="0"/>
        <w:autoSpaceDN w:val="0"/>
        <w:adjustRightInd w:val="0"/>
        <w:spacing w:after="0" w:line="240" w:lineRule="auto"/>
        <w:rPr>
          <w:rFonts w:asciiTheme="majorBidi" w:hAnsiTheme="majorBidi" w:cstheme="majorBidi"/>
          <w:b/>
          <w:sz w:val="24"/>
          <w:szCs w:val="24"/>
          <w:lang w:val="en-NZ"/>
        </w:rPr>
      </w:pPr>
      <w:r w:rsidRPr="003850AA">
        <w:rPr>
          <w:rFonts w:asciiTheme="majorBidi" w:hAnsiTheme="majorBidi" w:cstheme="majorBidi"/>
          <w:b/>
          <w:sz w:val="24"/>
          <w:szCs w:val="24"/>
          <w:lang w:val="en-NZ"/>
        </w:rPr>
        <w:t xml:space="preserve">Presenting author details </w:t>
      </w:r>
    </w:p>
    <w:p w:rsidR="003850AA" w:rsidRPr="003850AA" w:rsidRDefault="003850AA" w:rsidP="005C725C">
      <w:pPr>
        <w:jc w:val="both"/>
        <w:rPr>
          <w:rFonts w:asciiTheme="majorBidi" w:hAnsiTheme="majorBidi" w:cstheme="majorBidi"/>
          <w:sz w:val="24"/>
          <w:szCs w:val="24"/>
        </w:rPr>
      </w:pPr>
    </w:p>
    <w:p w:rsidR="003850AA" w:rsidRPr="003850AA" w:rsidRDefault="003850AA" w:rsidP="005C725C">
      <w:pPr>
        <w:jc w:val="both"/>
        <w:rPr>
          <w:rFonts w:asciiTheme="majorBidi" w:hAnsiTheme="majorBidi" w:cstheme="majorBidi"/>
          <w:sz w:val="24"/>
          <w:szCs w:val="24"/>
        </w:rPr>
      </w:pPr>
      <w:proofErr w:type="spellStart"/>
      <w:r w:rsidRPr="003850AA">
        <w:rPr>
          <w:rFonts w:asciiTheme="majorBidi" w:hAnsiTheme="majorBidi" w:cstheme="majorBidi"/>
          <w:sz w:val="24"/>
          <w:szCs w:val="24"/>
        </w:rPr>
        <w:t>Saeb</w:t>
      </w:r>
      <w:proofErr w:type="spellEnd"/>
      <w:r w:rsidRPr="003850AA">
        <w:rPr>
          <w:rFonts w:asciiTheme="majorBidi" w:hAnsiTheme="majorBidi" w:cstheme="majorBidi"/>
          <w:sz w:val="24"/>
          <w:szCs w:val="24"/>
        </w:rPr>
        <w:t xml:space="preserve"> </w:t>
      </w:r>
      <w:proofErr w:type="spellStart"/>
      <w:r w:rsidRPr="003850AA">
        <w:rPr>
          <w:rFonts w:asciiTheme="majorBidi" w:hAnsiTheme="majorBidi" w:cstheme="majorBidi"/>
          <w:sz w:val="24"/>
          <w:szCs w:val="24"/>
        </w:rPr>
        <w:t>ahmadashrafi</w:t>
      </w:r>
      <w:proofErr w:type="spellEnd"/>
    </w:p>
    <w:p w:rsidR="003850AA" w:rsidRPr="003850AA" w:rsidRDefault="003850AA" w:rsidP="005C725C">
      <w:pPr>
        <w:jc w:val="both"/>
        <w:rPr>
          <w:rFonts w:asciiTheme="majorBidi" w:hAnsiTheme="majorBidi" w:cstheme="majorBidi"/>
          <w:sz w:val="24"/>
          <w:szCs w:val="24"/>
        </w:rPr>
      </w:pPr>
      <w:proofErr w:type="spellStart"/>
      <w:proofErr w:type="gramStart"/>
      <w:r w:rsidRPr="003850AA">
        <w:rPr>
          <w:rFonts w:asciiTheme="majorBidi" w:hAnsiTheme="majorBidi" w:cstheme="majorBidi"/>
          <w:sz w:val="24"/>
          <w:szCs w:val="24"/>
        </w:rPr>
        <w:t>pharmD</w:t>
      </w:r>
      <w:proofErr w:type="spellEnd"/>
      <w:proofErr w:type="gramEnd"/>
    </w:p>
    <w:p w:rsidR="003850AA" w:rsidRPr="003850AA" w:rsidRDefault="003850AA" w:rsidP="005C725C">
      <w:pPr>
        <w:jc w:val="both"/>
        <w:rPr>
          <w:rFonts w:asciiTheme="majorBidi" w:hAnsiTheme="majorBidi" w:cstheme="majorBidi"/>
          <w:sz w:val="24"/>
          <w:szCs w:val="24"/>
        </w:rPr>
      </w:pPr>
      <w:proofErr w:type="spellStart"/>
      <w:proofErr w:type="gramStart"/>
      <w:r w:rsidRPr="003850AA">
        <w:rPr>
          <w:rFonts w:asciiTheme="majorBidi" w:hAnsiTheme="majorBidi" w:cstheme="majorBidi"/>
          <w:sz w:val="24"/>
          <w:szCs w:val="24"/>
        </w:rPr>
        <w:t>ph.number</w:t>
      </w:r>
      <w:proofErr w:type="spellEnd"/>
      <w:r w:rsidRPr="003850AA">
        <w:rPr>
          <w:rFonts w:asciiTheme="majorBidi" w:hAnsiTheme="majorBidi" w:cstheme="majorBidi"/>
          <w:sz w:val="24"/>
          <w:szCs w:val="24"/>
        </w:rPr>
        <w:t xml:space="preserve"> :</w:t>
      </w:r>
      <w:proofErr w:type="gramEnd"/>
      <w:r w:rsidRPr="003850AA">
        <w:rPr>
          <w:rFonts w:asciiTheme="majorBidi" w:hAnsiTheme="majorBidi" w:cstheme="majorBidi"/>
          <w:sz w:val="24"/>
          <w:szCs w:val="24"/>
        </w:rPr>
        <w:t xml:space="preserve"> 00989113412578</w:t>
      </w:r>
    </w:p>
    <w:p w:rsidR="003850AA" w:rsidRPr="003850AA" w:rsidRDefault="003850AA" w:rsidP="005C725C">
      <w:pPr>
        <w:jc w:val="both"/>
        <w:rPr>
          <w:rFonts w:asciiTheme="majorBidi" w:hAnsiTheme="majorBidi" w:cstheme="majorBidi"/>
          <w:sz w:val="24"/>
          <w:szCs w:val="24"/>
        </w:rPr>
      </w:pPr>
      <w:proofErr w:type="gramStart"/>
      <w:r w:rsidRPr="003850AA">
        <w:rPr>
          <w:rFonts w:asciiTheme="majorBidi" w:hAnsiTheme="majorBidi" w:cstheme="majorBidi"/>
          <w:sz w:val="24"/>
          <w:szCs w:val="24"/>
        </w:rPr>
        <w:t>category :</w:t>
      </w:r>
      <w:proofErr w:type="gramEnd"/>
      <w:r w:rsidRPr="003850AA">
        <w:rPr>
          <w:rFonts w:asciiTheme="majorBidi" w:hAnsiTheme="majorBidi" w:cstheme="majorBidi"/>
          <w:sz w:val="24"/>
          <w:szCs w:val="24"/>
        </w:rPr>
        <w:t xml:space="preserve"> poster presentation</w:t>
      </w:r>
    </w:p>
    <w:p w:rsidR="003850AA" w:rsidRPr="003850AA" w:rsidRDefault="000B68A4" w:rsidP="005C725C">
      <w:pPr>
        <w:jc w:val="both"/>
        <w:rPr>
          <w:rFonts w:asciiTheme="majorBidi" w:hAnsiTheme="majorBidi" w:cstheme="majorBidi"/>
          <w:sz w:val="24"/>
          <w:szCs w:val="24"/>
        </w:rPr>
      </w:pPr>
      <w:hyperlink r:id="rId5" w:history="1">
        <w:r w:rsidR="003850AA" w:rsidRPr="003850AA">
          <w:rPr>
            <w:rStyle w:val="Hyperlink"/>
            <w:rFonts w:asciiTheme="majorBidi" w:hAnsiTheme="majorBidi" w:cstheme="majorBidi"/>
            <w:color w:val="auto"/>
            <w:sz w:val="24"/>
            <w:szCs w:val="24"/>
          </w:rPr>
          <w:t>https://www.pubfacts.com/author/Saeb+Ahmad-Ashrafi</w:t>
        </w:r>
      </w:hyperlink>
    </w:p>
    <w:p w:rsidR="003850AA" w:rsidRPr="003850AA" w:rsidRDefault="003850AA" w:rsidP="005C725C">
      <w:pPr>
        <w:jc w:val="both"/>
        <w:rPr>
          <w:rFonts w:asciiTheme="majorBidi" w:hAnsiTheme="majorBidi" w:cstheme="majorBidi"/>
          <w:sz w:val="24"/>
          <w:szCs w:val="24"/>
        </w:rPr>
      </w:pPr>
      <w:proofErr w:type="gramStart"/>
      <w:r w:rsidRPr="003850AA">
        <w:rPr>
          <w:rFonts w:asciiTheme="majorBidi" w:hAnsiTheme="majorBidi" w:cstheme="majorBidi"/>
          <w:sz w:val="24"/>
          <w:szCs w:val="24"/>
        </w:rPr>
        <w:t>passport</w:t>
      </w:r>
      <w:proofErr w:type="gramEnd"/>
      <w:r w:rsidRPr="003850AA">
        <w:rPr>
          <w:rFonts w:asciiTheme="majorBidi" w:hAnsiTheme="majorBidi" w:cstheme="majorBidi"/>
          <w:sz w:val="24"/>
          <w:szCs w:val="24"/>
        </w:rPr>
        <w:t xml:space="preserve"> number : l40287474</w:t>
      </w:r>
    </w:p>
    <w:sectPr w:rsidR="003850AA" w:rsidRPr="003850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25C"/>
    <w:rsid w:val="0001565D"/>
    <w:rsid w:val="000B68A4"/>
    <w:rsid w:val="003850AA"/>
    <w:rsid w:val="005C725C"/>
    <w:rsid w:val="007517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2D1794-3E25-4857-8ADC-51FB83C70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C725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725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1565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156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59355">
      <w:bodyDiv w:val="1"/>
      <w:marLeft w:val="0"/>
      <w:marRight w:val="0"/>
      <w:marTop w:val="0"/>
      <w:marBottom w:val="0"/>
      <w:divBdr>
        <w:top w:val="none" w:sz="0" w:space="0" w:color="auto"/>
        <w:left w:val="none" w:sz="0" w:space="0" w:color="auto"/>
        <w:bottom w:val="none" w:sz="0" w:space="0" w:color="auto"/>
        <w:right w:val="none" w:sz="0" w:space="0" w:color="auto"/>
      </w:divBdr>
      <w:divsChild>
        <w:div w:id="1028070108">
          <w:marLeft w:val="0"/>
          <w:marRight w:val="0"/>
          <w:marTop w:val="0"/>
          <w:marBottom w:val="0"/>
          <w:divBdr>
            <w:top w:val="none" w:sz="0" w:space="0" w:color="auto"/>
            <w:left w:val="none" w:sz="0" w:space="0" w:color="auto"/>
            <w:bottom w:val="none" w:sz="0" w:space="0" w:color="auto"/>
            <w:right w:val="none" w:sz="0" w:space="0" w:color="auto"/>
          </w:divBdr>
        </w:div>
      </w:divsChild>
    </w:div>
    <w:div w:id="40715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ubfacts.com/author/Saeb+Ahmad-Ashraf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Dr.Barandeh</dc:creator>
  <cp:keywords/>
  <dc:description/>
  <cp:lastModifiedBy>Dr.Barandeh</cp:lastModifiedBy>
  <cp:revision>4</cp:revision>
  <dcterms:created xsi:type="dcterms:W3CDTF">2019-11-12T19:45:00Z</dcterms:created>
  <dcterms:modified xsi:type="dcterms:W3CDTF">2019-11-26T19:30:00Z</dcterms:modified>
</cp:coreProperties>
</file>