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2D93" w:rsidRPr="00792D93" w:rsidRDefault="00792D93" w:rsidP="00792D93">
      <w:pPr>
        <w:pStyle w:val="Heading1"/>
        <w:spacing w:before="0"/>
        <w:ind w:left="0"/>
        <w:rPr>
          <w:color w:val="337AB7"/>
        </w:rPr>
      </w:pPr>
      <w:r w:rsidRPr="00792D93">
        <w:rPr>
          <w:color w:val="337AB7"/>
        </w:rPr>
        <w:t xml:space="preserve">Meta-analysis of CYP1B1 gene mutations in </w:t>
      </w:r>
    </w:p>
    <w:p w:rsidR="00792D93" w:rsidRPr="00792D93" w:rsidRDefault="00792D93" w:rsidP="00792D93">
      <w:pPr>
        <w:pStyle w:val="Heading1"/>
        <w:spacing w:before="0"/>
        <w:ind w:left="0"/>
        <w:rPr>
          <w:color w:val="337AB7"/>
        </w:rPr>
      </w:pPr>
      <w:r w:rsidRPr="00792D93">
        <w:rPr>
          <w:color w:val="337AB7"/>
        </w:rPr>
        <w:t>primary congenital glaucoma patients</w:t>
      </w:r>
    </w:p>
    <w:p w:rsidR="00792D93" w:rsidRDefault="00792D93" w:rsidP="00792D93">
      <w:pPr>
        <w:pStyle w:val="BodyText"/>
        <w:spacing w:before="73" w:line="198" w:lineRule="exact"/>
        <w:ind w:left="100" w:right="5987"/>
        <w:rPr>
          <w:rFonts w:ascii="Arial"/>
        </w:rPr>
      </w:pPr>
    </w:p>
    <w:p w:rsidR="00792D93" w:rsidRDefault="00792D93" w:rsidP="00792D93">
      <w:pPr>
        <w:pStyle w:val="BodyText"/>
        <w:spacing w:before="73" w:line="198" w:lineRule="exact"/>
        <w:ind w:left="100" w:right="5987"/>
        <w:rPr>
          <w:rFonts w:ascii="Arial"/>
        </w:rPr>
      </w:pPr>
      <w:r w:rsidRPr="00792D93">
        <w:rPr>
          <w:rFonts w:ascii="Arial"/>
        </w:rPr>
        <w:t>Amine HADDAD, 20 August 1953 Hospital, Casablanca,</w:t>
      </w:r>
      <w:r>
        <w:rPr>
          <w:rFonts w:ascii="Arial"/>
        </w:rPr>
        <w:t xml:space="preserve"> </w:t>
      </w:r>
      <w:r w:rsidRPr="00792D93">
        <w:rPr>
          <w:rFonts w:ascii="Arial"/>
        </w:rPr>
        <w:t>Morocco</w:t>
      </w:r>
      <w:proofErr w:type="gramStart"/>
      <w:r>
        <w:rPr>
          <w:rFonts w:ascii="Arial"/>
        </w:rPr>
        <w:t>,</w:t>
      </w:r>
      <w:r w:rsidR="00937B80">
        <w:rPr>
          <w:rFonts w:ascii="Arial"/>
        </w:rPr>
        <w:t xml:space="preserve"> ,</w:t>
      </w:r>
      <w:proofErr w:type="gramEnd"/>
      <w:r w:rsidR="00937B80">
        <w:rPr>
          <w:rFonts w:ascii="Arial"/>
        </w:rPr>
        <w:t xml:space="preserve"> </w:t>
      </w:r>
      <w:r w:rsidR="00937B80" w:rsidRPr="00792D93">
        <w:rPr>
          <w:rFonts w:ascii="Arial"/>
        </w:rPr>
        <w:t xml:space="preserve">Laboratory of Medical Genetics and Molecular Pathology, </w:t>
      </w:r>
      <w:r>
        <w:rPr>
          <w:rFonts w:ascii="Arial"/>
        </w:rPr>
        <w:t xml:space="preserve"> </w:t>
      </w:r>
      <w:r w:rsidRPr="00792D93">
        <w:rPr>
          <w:rFonts w:ascii="Arial"/>
        </w:rPr>
        <w:t>Department of Medicine and</w:t>
      </w:r>
      <w:r w:rsidR="00937B80">
        <w:rPr>
          <w:rFonts w:ascii="Arial"/>
        </w:rPr>
        <w:t xml:space="preserve"> </w:t>
      </w:r>
      <w:proofErr w:type="spellStart"/>
      <w:r w:rsidRPr="00792D93">
        <w:rPr>
          <w:rFonts w:ascii="Arial"/>
        </w:rPr>
        <w:t>Pharmacy,Hassan</w:t>
      </w:r>
      <w:proofErr w:type="spellEnd"/>
      <w:r>
        <w:rPr>
          <w:rFonts w:ascii="Arial"/>
        </w:rPr>
        <w:t xml:space="preserve"> </w:t>
      </w:r>
      <w:r w:rsidRPr="00792D93">
        <w:rPr>
          <w:rFonts w:ascii="Arial"/>
        </w:rPr>
        <w:t>II University of Casablanca, Casablanca, Morocco</w:t>
      </w:r>
    </w:p>
    <w:p w:rsidR="00937B80" w:rsidRDefault="00937B80" w:rsidP="00792D93">
      <w:pPr>
        <w:pStyle w:val="BodyText"/>
        <w:spacing w:before="73" w:line="198" w:lineRule="exact"/>
        <w:ind w:left="100" w:right="5987"/>
        <w:rPr>
          <w:rFonts w:ascii="Arial"/>
        </w:rPr>
      </w:pPr>
    </w:p>
    <w:p w:rsidR="00937B80" w:rsidRPr="00792D93" w:rsidRDefault="00937B80" w:rsidP="00937B80">
      <w:pPr>
        <w:pStyle w:val="BodyText"/>
        <w:spacing w:before="73" w:line="198" w:lineRule="exact"/>
        <w:ind w:left="100" w:right="5987"/>
        <w:rPr>
          <w:rFonts w:ascii="Arial"/>
        </w:rPr>
      </w:pPr>
      <w:proofErr w:type="spellStart"/>
      <w:r>
        <w:rPr>
          <w:rFonts w:ascii="Arial"/>
        </w:rPr>
        <w:t>Keltoum</w:t>
      </w:r>
      <w:proofErr w:type="spellEnd"/>
      <w:r>
        <w:rPr>
          <w:rFonts w:ascii="Arial"/>
        </w:rPr>
        <w:t xml:space="preserve"> BOUJMIA, </w:t>
      </w:r>
      <w:r w:rsidRPr="00792D93">
        <w:rPr>
          <w:rFonts w:ascii="Arial"/>
        </w:rPr>
        <w:t>Laboratory of Medical Genetics and Molecular Pathology, Department of Medicine and Pharmacy, Hassan II University of Casablanca, Casablanca, Morocco</w:t>
      </w:r>
    </w:p>
    <w:p w:rsidR="00792D93" w:rsidRPr="00792D93" w:rsidRDefault="00792D93" w:rsidP="00792D93">
      <w:pPr>
        <w:pStyle w:val="BodyText"/>
        <w:spacing w:before="73" w:line="198" w:lineRule="exact"/>
        <w:ind w:left="100" w:right="5987"/>
        <w:rPr>
          <w:rFonts w:ascii="Arial"/>
        </w:rPr>
      </w:pPr>
    </w:p>
    <w:p w:rsidR="00792D93" w:rsidRPr="00792D93" w:rsidRDefault="00792D93" w:rsidP="00792D93">
      <w:pPr>
        <w:pStyle w:val="BodyText"/>
        <w:spacing w:before="73" w:line="198" w:lineRule="exact"/>
        <w:ind w:left="100" w:right="5987"/>
        <w:rPr>
          <w:rFonts w:ascii="Arial"/>
        </w:rPr>
      </w:pPr>
      <w:r w:rsidRPr="00792D93">
        <w:rPr>
          <w:rFonts w:ascii="Arial"/>
        </w:rPr>
        <w:t>H. DEHBI, Laboratory of Medical Genetics and Molecular Pathology, Department of Medicine and Pharmacy, Hassan II University of Casablanca, Casablanca, Morocco</w:t>
      </w:r>
    </w:p>
    <w:p w:rsidR="00792D93" w:rsidRPr="00792D93" w:rsidRDefault="00792D93" w:rsidP="00792D93">
      <w:pPr>
        <w:pStyle w:val="BodyText"/>
        <w:spacing w:before="73" w:line="198" w:lineRule="exact"/>
        <w:ind w:left="100" w:right="5987"/>
        <w:rPr>
          <w:rFonts w:ascii="Arial"/>
        </w:rPr>
      </w:pPr>
    </w:p>
    <w:p w:rsidR="00792D93" w:rsidRPr="00792D93" w:rsidRDefault="00792D93" w:rsidP="00792D93">
      <w:pPr>
        <w:pStyle w:val="BodyText"/>
        <w:spacing w:before="73" w:line="198" w:lineRule="exact"/>
        <w:ind w:left="100" w:right="5987"/>
        <w:rPr>
          <w:rFonts w:ascii="Arial"/>
        </w:rPr>
      </w:pPr>
      <w:r w:rsidRPr="00792D93">
        <w:rPr>
          <w:rFonts w:ascii="Arial"/>
        </w:rPr>
        <w:t>L. EL MAALOUM, 20 August 1953 Hospital, Casablanca, Morocco</w:t>
      </w:r>
      <w:r>
        <w:rPr>
          <w:rFonts w:ascii="Arial"/>
        </w:rPr>
        <w:t xml:space="preserve">, </w:t>
      </w:r>
      <w:r w:rsidRPr="00792D93">
        <w:rPr>
          <w:rFonts w:ascii="Arial"/>
        </w:rPr>
        <w:t>Department of Medicine and Pharmacy, Hassan II University of Casablanca, Casablanca, Morocco</w:t>
      </w:r>
    </w:p>
    <w:p w:rsidR="00AE3E37" w:rsidRDefault="00AE3E37">
      <w:pPr>
        <w:rPr>
          <w:rFonts w:ascii="Arial" w:hAnsi="Arial" w:cs="Arial"/>
          <w:sz w:val="36"/>
        </w:rPr>
      </w:pPr>
    </w:p>
    <w:p w:rsidR="00792D93" w:rsidRDefault="00792D93">
      <w:pPr>
        <w:rPr>
          <w:rFonts w:ascii="Arial"/>
          <w:sz w:val="21"/>
        </w:rPr>
        <w:sectPr w:rsidR="00792D93"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rPr>
          <w:color w:val="BF5A14"/>
        </w:rPr>
      </w:pPr>
      <w:r>
        <w:rPr>
          <w:color w:val="BF5A14"/>
        </w:rPr>
        <w:t>Abstract</w:t>
      </w:r>
      <w:r w:rsidR="00404E5B">
        <w:rPr>
          <w:color w:val="BF5A14"/>
        </w:rPr>
        <w:t xml:space="preserve"> </w:t>
      </w:r>
    </w:p>
    <w:p w:rsidR="00792D93" w:rsidRPr="00792D93" w:rsidRDefault="00792D93" w:rsidP="00792D93">
      <w:pPr>
        <w:pStyle w:val="BodyText"/>
        <w:spacing w:before="90" w:line="280" w:lineRule="auto"/>
        <w:ind w:left="100"/>
        <w:jc w:val="both"/>
      </w:pPr>
      <w:r w:rsidRPr="00792D93">
        <w:t>Glaucoma affects more than 70 million people worldwide, which making it the second leading cause of blindness in the world.</w:t>
      </w:r>
      <w:r w:rsidRPr="00792D93">
        <w:fldChar w:fldCharType="begin"/>
      </w:r>
      <w:r w:rsidRPr="00792D93">
        <w:instrText xml:space="preserve"> ADDIN ZOTERO_ITEM CSL_CITATION {"citationID":"5nhHOhxC","properties":{"formattedCitation":"\\super 1\\nosupersub{}","plainCitation":"1","noteIndex":0},"citationItems":[{"id":"1dNyOFr1/bKlvWD4A","uris":["http://zotero.org/users/local/iEC5TA9y/items/97FU7LHF"],"uri":["http://zotero.org/users/local/iEC5TA9y/items/97FU7LHF"],"itemData":{"id":77,"type":"webpage","title":"The number of people with glaucoma worldwide in 2010 and 2020 | British Journal of Ophthalmology","URL":"https://bjo.bmj.com/content/90/3/262","accessed":{"date-parts":[["2020",9,2]]}}}],"schema":"https://github.com/citation-style-language/schema/raw/master/csl-citation.json"} </w:instrText>
      </w:r>
      <w:r w:rsidRPr="00792D93">
        <w:fldChar w:fldCharType="separate"/>
      </w:r>
      <w:r w:rsidRPr="00792D93">
        <w:t>1</w:t>
      </w:r>
      <w:r w:rsidRPr="00792D93">
        <w:fldChar w:fldCharType="end"/>
      </w:r>
      <w:r w:rsidRPr="00792D93">
        <w:t xml:space="preserve"> The rare and severe form of glaucoma called, Primary congenital glaucoma (PCG), is usually transmitted as an autosomal-recessive disease with an incomplete penetrance and about 10% to 40% of its cases are familial.</w:t>
      </w:r>
      <w:r w:rsidRPr="00792D93">
        <w:fldChar w:fldCharType="begin"/>
      </w:r>
      <w:r w:rsidRPr="00792D93">
        <w:instrText xml:space="preserve"> ADDIN ZOTERO_ITEM CSL_CITATION {"citationID":"0bAV6rah","properties":{"formattedCitation":"\\super 2,3\\nosupersub{}","plainCitation":"2,3","noteIndex":0},"citationItems":[{"id":"1dNyOFr1/HiyrEwCV","uris":["http://zotero.org/users/local/iEC5TA9y/items/RLWERUTU"],"uri":["http://zotero.org/users/local/iEC5TA9y/items/RLWERUTU"],"itemData":{"id":82,"type":"webpage","title":"Primary Congenital Glaucoma: 2004 Update","URL":"https://www.healio.com/ophthalmology/journals/jpos/2004-9-41-5/%7B9b60d801-fd69-48d1-9f03-c958e86818ea%7D/primary-congenital-glaucoma-2004-update","author":[{"family":"Ching Lin Ho","given":""}],"accessed":{"date-parts":[["2020",9,2]]}}},{"id":"1dNyOFr1/KKm8Jvqa","uris":["http://zotero.org/users/local/iEC5TA9y/items/8ZUGB299"],"uri":["http://zotero.org/users/local/iEC5TA9y/items/8ZUGB299"],"itemData":{"id":79,"type":"article-journal","abstract":"Molecular genetic studies conducted during the last several years have thrown some light on the basic molecular defects in primary congenital glaucoma (PCG) and the rationale behind the clinical and genetic presentation of this paediatric eye condition. The existence of a hereditary form of PCG segregating as an autosomal recessive trait with high penetrance is now confirmed. The primary molecular defect underlying the majority of PCG cases has been identified as mutations in the cytochrome P4501B1 (CYP1B1) gene. This gene is expressed in tissues of the anterior chamber angle of the eye. Molecular modelling experiments suggest that mutations observed in PCG patients interfere with the integrity of the CYP1B1 molecule as well as its ability to adopt a normal conformation and bind haem. On the basis of these observations, we hypothesised that CYP1B1 participates in the normal development and function of the eye by metabolising essential molecules that are perhaps used in a signalling pathway. Revealing the identity of this molecule is our major objective since it can lead to as yet unknown biochemical cascades controlling the terminal stages of anterior chamber angle development.","container-title":"Eye (London, England)","DOI":"10.1038/eye.2000.126","ISSN":"0950-222X","journalAbbreviation":"Eye (Lond)","language":"eng","note":"PMID: 11026969","page":"422-428","source":"PubMed","title":"Molecular genetics of primary congenital glaucoma","volume":"14 ( Pt 3B)","author":[{"family":"Sarfarazi","given":"M."},{"family":"Stoilov","given":"I."}],"issued":{"date-parts":[["2000",6]]}}}],"schema":"https://github.com/citation-style-language/schema/raw/master/csl-citation.json"} </w:instrText>
      </w:r>
      <w:r w:rsidRPr="00792D93">
        <w:fldChar w:fldCharType="separate"/>
      </w:r>
      <w:r w:rsidRPr="00792D93">
        <w:t>2,3</w:t>
      </w:r>
      <w:r w:rsidRPr="00792D93">
        <w:fldChar w:fldCharType="end"/>
      </w:r>
      <w:r w:rsidRPr="00792D93">
        <w:t xml:space="preserve"> </w:t>
      </w:r>
    </w:p>
    <w:p w:rsidR="00792D93" w:rsidRPr="00792D93" w:rsidRDefault="00792D93" w:rsidP="00792D93">
      <w:pPr>
        <w:pStyle w:val="BodyText"/>
        <w:spacing w:before="90" w:line="280" w:lineRule="auto"/>
        <w:ind w:left="100"/>
        <w:jc w:val="both"/>
      </w:pPr>
      <w:r w:rsidRPr="00792D93">
        <w:t xml:space="preserve">The importance of this presentation is to highlight the interest of the genetic study of CYP1B1 mutations, its impact on the development of the eye and the genesis of PCG. This information could help clinicians to identify the population at high risk, to screen for genetic tests and to act early in a way to improve the patient prognosis. </w:t>
      </w:r>
    </w:p>
    <w:p w:rsidR="00792D93" w:rsidRPr="00792D93" w:rsidRDefault="00792D93" w:rsidP="00792D93">
      <w:pPr>
        <w:pStyle w:val="BodyText"/>
        <w:spacing w:before="90" w:line="280" w:lineRule="auto"/>
        <w:ind w:left="100"/>
        <w:jc w:val="both"/>
      </w:pPr>
      <w:r w:rsidRPr="00792D93">
        <w:t>An in-depth study was carried out by the following search engines: PubMed, Scopus, clinic key and direct science for articles that have been published from 2011 until 2020.</w:t>
      </w:r>
    </w:p>
    <w:p w:rsidR="00792D93" w:rsidRDefault="00792D93" w:rsidP="00792D93">
      <w:pPr>
        <w:pStyle w:val="BodyText"/>
        <w:spacing w:before="90" w:line="280" w:lineRule="auto"/>
        <w:ind w:left="100"/>
        <w:jc w:val="both"/>
      </w:pPr>
      <w:r w:rsidRPr="00792D93">
        <w:t>We have identified 81 articles in this review from 2011 to 2020, excluding 3 duplicates. 78 titles and abstracts were filtered from which 52 studies were not considered since they did not match the inclusion criteria as mentioned above. 26 complete studies were examined.</w:t>
      </w:r>
    </w:p>
    <w:p w:rsidR="00780E44" w:rsidRPr="00780E44" w:rsidRDefault="00780E44" w:rsidP="00780E44">
      <w:pPr>
        <w:pStyle w:val="BodyText"/>
        <w:spacing w:before="90" w:line="280" w:lineRule="auto"/>
        <w:ind w:left="100"/>
        <w:jc w:val="both"/>
      </w:pPr>
      <w:bookmarkStart w:id="0" w:name="_GoBack"/>
      <w:r w:rsidRPr="00780E44">
        <w:t xml:space="preserve">One hundred and sixty-one mutations were found in 1641 tested patients and three families, including 78 novel mutations. We identified a no significant difference in the sex ratio and the </w:t>
      </w:r>
      <w:proofErr w:type="spellStart"/>
      <w:r w:rsidRPr="00780E44">
        <w:t>bilaterality</w:t>
      </w:r>
      <w:proofErr w:type="spellEnd"/>
      <w:r w:rsidRPr="00780E44">
        <w:t xml:space="preserve"> was reported in the majority of patients. We have shown through this study that inbreeding plays an important role in the pathogenesis of PCG transmission compared to the sporadic mutations that have been found in some cases. The majority of the included studies were from ASIA (64.3%), followed by Europe (17.85%), America (10.71%) and Africa (7.14%). The first and most common mutation in our study is 182 G&gt;A (</w:t>
      </w:r>
      <w:proofErr w:type="gramStart"/>
      <w:r w:rsidRPr="00780E44">
        <w:t>p.Gly</w:t>
      </w:r>
      <w:proofErr w:type="gramEnd"/>
      <w:r w:rsidRPr="00780E44">
        <w:t>61Glu).</w:t>
      </w:r>
    </w:p>
    <w:p w:rsidR="00780E44" w:rsidRPr="00780E44" w:rsidRDefault="00780E44" w:rsidP="00780E44">
      <w:pPr>
        <w:pStyle w:val="BodyText"/>
        <w:spacing w:before="90" w:line="280" w:lineRule="auto"/>
        <w:ind w:left="100"/>
        <w:jc w:val="both"/>
      </w:pPr>
      <w:r w:rsidRPr="00780E44">
        <w:t>Considering the precedent analysis, our study encompasses a higher number, for a better understanding of the association of these mutations with PCG. Therefore, it can be useful to develop reliable genetic tests to be a routine examination for patients with a family history of PCG.</w:t>
      </w:r>
    </w:p>
    <w:p w:rsidR="00792D93" w:rsidRDefault="00792D93" w:rsidP="00792D93">
      <w:pPr>
        <w:pStyle w:val="BodyText"/>
        <w:spacing w:before="90" w:line="280" w:lineRule="auto"/>
        <w:ind w:left="100"/>
        <w:jc w:val="both"/>
      </w:pPr>
    </w:p>
    <w:p w:rsidR="00AE3E37" w:rsidRDefault="00A9710C" w:rsidP="00780E44">
      <w:pPr>
        <w:pStyle w:val="BodyText"/>
        <w:spacing w:before="90" w:line="280" w:lineRule="auto"/>
        <w:ind w:left="100"/>
        <w:jc w:val="both"/>
        <w:rPr>
          <w:color w:val="BF5A14"/>
        </w:rPr>
      </w:pPr>
      <w:r>
        <w:br w:type="column"/>
      </w:r>
      <w:bookmarkEnd w:id="0"/>
      <w:r>
        <w:rPr>
          <w:color w:val="BF5A14"/>
        </w:rPr>
        <w:t>Image</w:t>
      </w:r>
    </w:p>
    <w:p w:rsidR="00792D93" w:rsidRDefault="00792D93">
      <w:pPr>
        <w:pStyle w:val="Heading3"/>
        <w:spacing w:before="74"/>
      </w:pPr>
    </w:p>
    <w:p w:rsidR="00AE3E37" w:rsidRDefault="00792D93">
      <w:pPr>
        <w:pStyle w:val="BodyText"/>
        <w:spacing w:before="2"/>
        <w:rPr>
          <w:rFonts w:ascii="Arial"/>
          <w:b/>
          <w:sz w:val="16"/>
        </w:rPr>
      </w:pPr>
      <w:r w:rsidRPr="00EA59A1">
        <w:rPr>
          <w:rFonts w:ascii="Arial" w:hAnsi="Arial" w:cs="Arial"/>
          <w:noProof/>
          <w:color w:val="000000" w:themeColor="text1"/>
          <w:sz w:val="22"/>
          <w:szCs w:val="22"/>
        </w:rPr>
        <w:drawing>
          <wp:inline distT="0" distB="0" distL="0" distR="0" wp14:anchorId="2330896E" wp14:editId="1814F9D6">
            <wp:extent cx="3165475" cy="1713586"/>
            <wp:effectExtent l="0" t="0" r="0" b="1270"/>
            <wp:docPr id="1" name="Image 1" descr="C:\Users\DELL\Desktop\Analysis of CYP1B1 sequence alterations in patients in primary glaucoma congenital\Materiels et methods\Flow chart corrig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Analysis of CYP1B1 sequence alterations in patients in primary glaucoma congenital\Materiels et methods\Flow chart corrigé.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1713586"/>
                    </a:xfrm>
                    <a:prstGeom prst="rect">
                      <a:avLst/>
                    </a:prstGeom>
                    <a:noFill/>
                    <a:ln>
                      <a:noFill/>
                    </a:ln>
                  </pic:spPr>
                </pic:pic>
              </a:graphicData>
            </a:graphic>
          </wp:inline>
        </w:drawing>
      </w:r>
    </w:p>
    <w:p w:rsidR="00792D93" w:rsidRPr="00792D93" w:rsidRDefault="00792D93" w:rsidP="00792D93">
      <w:pPr>
        <w:pStyle w:val="BodyText"/>
        <w:spacing w:before="90" w:line="280" w:lineRule="auto"/>
        <w:ind w:left="100"/>
        <w:jc w:val="both"/>
        <w:rPr>
          <w:i/>
          <w:iCs/>
        </w:rPr>
      </w:pPr>
      <w:r w:rsidRPr="00792D93">
        <w:t xml:space="preserve">Figure 1: </w:t>
      </w:r>
      <w:r w:rsidRPr="00792D93">
        <w:rPr>
          <w:i/>
          <w:iCs/>
        </w:rPr>
        <w:t>Flow chart showing the selection of studies</w:t>
      </w:r>
    </w:p>
    <w:p w:rsidR="005973B9" w:rsidRPr="00403009" w:rsidRDefault="005973B9" w:rsidP="005973B9">
      <w:pPr>
        <w:spacing w:line="204" w:lineRule="exact"/>
        <w:rPr>
          <w:rFonts w:ascii="Arial"/>
          <w:b/>
          <w:sz w:val="20"/>
          <w:lang w:val="fr-FR"/>
        </w:rPr>
      </w:pPr>
      <w:r w:rsidRPr="00780E44">
        <w:rPr>
          <w:rFonts w:ascii="Arial"/>
          <w:b/>
          <w:color w:val="BF5A14"/>
          <w:sz w:val="20"/>
        </w:rPr>
        <w:br/>
      </w:r>
      <w:proofErr w:type="spellStart"/>
      <w:r w:rsidRPr="00403009">
        <w:rPr>
          <w:rFonts w:ascii="Arial"/>
          <w:b/>
          <w:color w:val="BF5A14"/>
          <w:sz w:val="20"/>
          <w:lang w:val="fr-FR"/>
        </w:rPr>
        <w:t>Recent</w:t>
      </w:r>
      <w:proofErr w:type="spellEnd"/>
      <w:r w:rsidRPr="00403009">
        <w:rPr>
          <w:rFonts w:ascii="Arial"/>
          <w:b/>
          <w:color w:val="BF5A14"/>
          <w:sz w:val="20"/>
          <w:lang w:val="fr-FR"/>
        </w:rPr>
        <w:t xml:space="preserve"> Publicati</w:t>
      </w:r>
      <w:r w:rsidR="00792D93" w:rsidRPr="00403009">
        <w:rPr>
          <w:rFonts w:ascii="Arial"/>
          <w:b/>
          <w:color w:val="BF5A14"/>
          <w:sz w:val="20"/>
          <w:lang w:val="fr-FR"/>
        </w:rPr>
        <w:t xml:space="preserve">on </w:t>
      </w:r>
    </w:p>
    <w:p w:rsidR="00403009" w:rsidRPr="00EA5506" w:rsidRDefault="00403009" w:rsidP="00403009">
      <w:pPr>
        <w:pStyle w:val="ListParagraph"/>
        <w:numPr>
          <w:ilvl w:val="0"/>
          <w:numId w:val="3"/>
        </w:numPr>
        <w:tabs>
          <w:tab w:val="left" w:pos="384"/>
        </w:tabs>
        <w:spacing w:line="216" w:lineRule="exact"/>
        <w:ind w:right="137" w:hanging="283"/>
        <w:rPr>
          <w:sz w:val="18"/>
        </w:rPr>
      </w:pPr>
      <w:r w:rsidRPr="00EA5506">
        <w:rPr>
          <w:sz w:val="18"/>
        </w:rPr>
        <w:t>Recurrent palpebra</w:t>
      </w:r>
      <w:r w:rsidRPr="00193EEA">
        <w:rPr>
          <w:sz w:val="18"/>
        </w:rPr>
        <w:t>l</w:t>
      </w:r>
      <w:r w:rsidRPr="00EA5506">
        <w:rPr>
          <w:sz w:val="18"/>
        </w:rPr>
        <w:t xml:space="preserve"> herpes complicated by </w:t>
      </w:r>
      <w:proofErr w:type="spellStart"/>
      <w:r w:rsidRPr="00EA5506">
        <w:rPr>
          <w:sz w:val="18"/>
        </w:rPr>
        <w:t>preseptal</w:t>
      </w:r>
      <w:proofErr w:type="spellEnd"/>
      <w:r w:rsidRPr="00EA5506">
        <w:rPr>
          <w:sz w:val="18"/>
        </w:rPr>
        <w:t xml:space="preserve"> cellulitis in a child</w:t>
      </w:r>
      <w:r w:rsidR="00193EEA">
        <w:rPr>
          <w:sz w:val="18"/>
        </w:rPr>
        <w:t xml:space="preserve">. </w:t>
      </w:r>
      <w:proofErr w:type="gramStart"/>
      <w:r w:rsidR="00193EEA" w:rsidRPr="00193EEA">
        <w:rPr>
          <w:sz w:val="18"/>
        </w:rPr>
        <w:t>Doi :</w:t>
      </w:r>
      <w:proofErr w:type="gramEnd"/>
      <w:r w:rsidR="00193EEA" w:rsidRPr="00193EEA">
        <w:rPr>
          <w:sz w:val="18"/>
        </w:rPr>
        <w:t xml:space="preserve"> 10.1016/j.jfo.2021.01.017</w:t>
      </w:r>
    </w:p>
    <w:p w:rsidR="00193EEA" w:rsidRPr="00193EEA" w:rsidRDefault="00193EEA" w:rsidP="00193EEA">
      <w:pPr>
        <w:pStyle w:val="ListParagraph"/>
        <w:numPr>
          <w:ilvl w:val="0"/>
          <w:numId w:val="3"/>
        </w:numPr>
        <w:tabs>
          <w:tab w:val="left" w:pos="384"/>
        </w:tabs>
        <w:spacing w:line="216" w:lineRule="exact"/>
        <w:ind w:right="137" w:hanging="283"/>
        <w:rPr>
          <w:sz w:val="18"/>
          <w:lang w:val="fr-FR"/>
        </w:rPr>
      </w:pPr>
      <w:proofErr w:type="spellStart"/>
      <w:r w:rsidRPr="00193EEA">
        <w:rPr>
          <w:sz w:val="18"/>
          <w:lang w:val="fr-FR"/>
        </w:rPr>
        <w:t>Méningoencéphalocèle</w:t>
      </w:r>
      <w:proofErr w:type="spellEnd"/>
      <w:r w:rsidRPr="00193EEA">
        <w:rPr>
          <w:sz w:val="18"/>
          <w:lang w:val="fr-FR"/>
        </w:rPr>
        <w:t xml:space="preserve"> </w:t>
      </w:r>
      <w:proofErr w:type="spellStart"/>
      <w:r w:rsidRPr="00193EEA">
        <w:rPr>
          <w:sz w:val="18"/>
          <w:lang w:val="fr-FR"/>
        </w:rPr>
        <w:t>naso</w:t>
      </w:r>
      <w:proofErr w:type="spellEnd"/>
      <w:r w:rsidRPr="00193EEA">
        <w:rPr>
          <w:sz w:val="18"/>
          <w:lang w:val="fr-FR"/>
        </w:rPr>
        <w:t xml:space="preserve">-orbitaire chez </w:t>
      </w:r>
      <w:proofErr w:type="gramStart"/>
      <w:r w:rsidRPr="00193EEA">
        <w:rPr>
          <w:sz w:val="18"/>
          <w:lang w:val="fr-FR"/>
        </w:rPr>
        <w:t>un nouveau née</w:t>
      </w:r>
      <w:proofErr w:type="gramEnd"/>
      <w:r w:rsidRPr="00193EEA">
        <w:rPr>
          <w:sz w:val="18"/>
          <w:lang w:val="fr-FR"/>
        </w:rPr>
        <w:t xml:space="preserve"> : A propos d’un cas.</w:t>
      </w:r>
      <w:r>
        <w:rPr>
          <w:sz w:val="18"/>
          <w:lang w:val="fr-FR"/>
        </w:rPr>
        <w:t xml:space="preserve"> </w:t>
      </w:r>
      <w:r w:rsidRPr="00193EEA">
        <w:rPr>
          <w:sz w:val="18"/>
          <w:lang w:val="fr-FR"/>
        </w:rPr>
        <w:t xml:space="preserve">IOSR Journal of Dental and </w:t>
      </w:r>
      <w:proofErr w:type="spellStart"/>
      <w:r w:rsidRPr="00193EEA">
        <w:rPr>
          <w:sz w:val="18"/>
          <w:lang w:val="fr-FR"/>
        </w:rPr>
        <w:t>Medical</w:t>
      </w:r>
      <w:proofErr w:type="spellEnd"/>
      <w:r w:rsidRPr="00193EEA">
        <w:rPr>
          <w:sz w:val="18"/>
          <w:lang w:val="fr-FR"/>
        </w:rPr>
        <w:t xml:space="preserve"> Sciences (IOSR-JDMS)</w:t>
      </w:r>
    </w:p>
    <w:p w:rsidR="00193EEA" w:rsidRPr="00193EEA" w:rsidRDefault="00193EEA" w:rsidP="00193EEA">
      <w:pPr>
        <w:pStyle w:val="ListParagraph"/>
        <w:numPr>
          <w:ilvl w:val="0"/>
          <w:numId w:val="3"/>
        </w:numPr>
        <w:tabs>
          <w:tab w:val="left" w:pos="384"/>
        </w:tabs>
        <w:spacing w:line="216" w:lineRule="exact"/>
        <w:ind w:right="137" w:hanging="283"/>
        <w:rPr>
          <w:sz w:val="18"/>
        </w:rPr>
      </w:pPr>
      <w:r w:rsidRPr="00193EEA">
        <w:rPr>
          <w:sz w:val="18"/>
        </w:rPr>
        <w:t xml:space="preserve">Congenital </w:t>
      </w:r>
      <w:proofErr w:type="spellStart"/>
      <w:r w:rsidRPr="00193EEA">
        <w:rPr>
          <w:sz w:val="18"/>
        </w:rPr>
        <w:t>megalocornea</w:t>
      </w:r>
      <w:proofErr w:type="spellEnd"/>
      <w:r w:rsidRPr="00193EEA">
        <w:rPr>
          <w:sz w:val="18"/>
        </w:rPr>
        <w:t xml:space="preserve"> or congenital glaucoma: What's the </w:t>
      </w:r>
      <w:proofErr w:type="gramStart"/>
      <w:r w:rsidRPr="00193EEA">
        <w:rPr>
          <w:sz w:val="18"/>
        </w:rPr>
        <w:t>difference ?</w:t>
      </w:r>
      <w:proofErr w:type="gramEnd"/>
      <w:r>
        <w:rPr>
          <w:sz w:val="18"/>
        </w:rPr>
        <w:t xml:space="preserve"> </w:t>
      </w:r>
      <w:hyperlink r:id="rId9" w:tgtFrame="_blank" w:tooltip="Persistent link using digital object identifier" w:history="1">
        <w:r w:rsidRPr="00193EEA">
          <w:rPr>
            <w:sz w:val="18"/>
          </w:rPr>
          <w:t>https://doi.org/10.1016/j.jfo.2020.11.014</w:t>
        </w:r>
      </w:hyperlink>
    </w:p>
    <w:p w:rsidR="00193EEA" w:rsidRPr="00193EEA" w:rsidRDefault="00193EEA" w:rsidP="00193EEA">
      <w:pPr>
        <w:tabs>
          <w:tab w:val="left" w:pos="384"/>
        </w:tabs>
        <w:spacing w:line="216" w:lineRule="exact"/>
        <w:ind w:left="100" w:right="137"/>
        <w:rPr>
          <w:sz w:val="18"/>
        </w:rPr>
      </w:pPr>
    </w:p>
    <w:p w:rsidR="00193EEA" w:rsidRPr="00193EEA" w:rsidRDefault="00193EEA" w:rsidP="00193EEA">
      <w:pPr>
        <w:pStyle w:val="ListParagraph"/>
        <w:numPr>
          <w:ilvl w:val="0"/>
          <w:numId w:val="3"/>
        </w:numPr>
        <w:tabs>
          <w:tab w:val="left" w:pos="384"/>
        </w:tabs>
        <w:spacing w:line="216" w:lineRule="exact"/>
        <w:ind w:right="137" w:hanging="283"/>
        <w:rPr>
          <w:sz w:val="18"/>
        </w:rPr>
      </w:pPr>
      <w:r w:rsidRPr="00193EEA">
        <w:rPr>
          <w:sz w:val="18"/>
        </w:rPr>
        <w:t xml:space="preserve">When Orbital Trauma Hides a Malignant </w:t>
      </w:r>
      <w:proofErr w:type="spellStart"/>
      <w:r w:rsidRPr="00193EEA">
        <w:rPr>
          <w:sz w:val="18"/>
        </w:rPr>
        <w:t>Tumour</w:t>
      </w:r>
      <w:proofErr w:type="spellEnd"/>
      <w:r w:rsidRPr="00193EEA">
        <w:rPr>
          <w:sz w:val="18"/>
        </w:rPr>
        <w:t xml:space="preserve"> in Children</w:t>
      </w:r>
    </w:p>
    <w:p w:rsidR="00193EEA" w:rsidRDefault="00937B80" w:rsidP="00937B80">
      <w:pPr>
        <w:tabs>
          <w:tab w:val="left" w:pos="384"/>
        </w:tabs>
        <w:spacing w:line="216" w:lineRule="exact"/>
        <w:ind w:left="383" w:right="137"/>
        <w:rPr>
          <w:sz w:val="18"/>
        </w:rPr>
      </w:pPr>
      <w:r>
        <w:rPr>
          <w:sz w:val="18"/>
        </w:rPr>
        <w:tab/>
      </w:r>
      <w:r w:rsidR="00193EEA" w:rsidRPr="00937B80">
        <w:rPr>
          <w:sz w:val="18"/>
        </w:rPr>
        <w:t>Acta Scientific Ophthalmology (ISSN: 2582-3191) Volume 4 Issue 1 January 2021</w:t>
      </w:r>
    </w:p>
    <w:p w:rsidR="00937B80" w:rsidRPr="00937B80" w:rsidRDefault="00937B80" w:rsidP="00937B80">
      <w:pPr>
        <w:tabs>
          <w:tab w:val="left" w:pos="384"/>
        </w:tabs>
        <w:spacing w:line="216" w:lineRule="exact"/>
        <w:ind w:left="383" w:right="137"/>
        <w:rPr>
          <w:sz w:val="18"/>
        </w:rPr>
      </w:pPr>
    </w:p>
    <w:p w:rsidR="00937B80" w:rsidRPr="00937B80" w:rsidRDefault="00937B80" w:rsidP="00937B80">
      <w:pPr>
        <w:pStyle w:val="ListParagraph"/>
        <w:numPr>
          <w:ilvl w:val="0"/>
          <w:numId w:val="3"/>
        </w:numPr>
        <w:tabs>
          <w:tab w:val="left" w:pos="384"/>
        </w:tabs>
        <w:spacing w:before="0" w:line="216" w:lineRule="exact"/>
        <w:ind w:right="137" w:hanging="283"/>
        <w:rPr>
          <w:sz w:val="18"/>
        </w:rPr>
      </w:pPr>
      <w:r w:rsidRPr="00937B80">
        <w:rPr>
          <w:sz w:val="18"/>
        </w:rPr>
        <w:t>A sudden heterochromia: congenital or metastatic?</w:t>
      </w:r>
    </w:p>
    <w:p w:rsidR="00937B80" w:rsidRPr="00937B80" w:rsidRDefault="00937B80" w:rsidP="00937B80">
      <w:pPr>
        <w:pStyle w:val="ListParagraph"/>
        <w:tabs>
          <w:tab w:val="left" w:pos="384"/>
        </w:tabs>
        <w:spacing w:before="0" w:line="216" w:lineRule="exact"/>
        <w:ind w:right="137" w:firstLine="0"/>
        <w:rPr>
          <w:sz w:val="18"/>
          <w:lang w:val="fr-FR"/>
        </w:rPr>
      </w:pPr>
      <w:proofErr w:type="gramStart"/>
      <w:r w:rsidRPr="00937B80">
        <w:rPr>
          <w:sz w:val="18"/>
          <w:lang w:val="fr-FR"/>
        </w:rPr>
        <w:t>date</w:t>
      </w:r>
      <w:proofErr w:type="gramEnd"/>
      <w:r w:rsidRPr="00937B80">
        <w:rPr>
          <w:sz w:val="18"/>
          <w:lang w:val="fr-FR"/>
        </w:rPr>
        <w:t xml:space="preserve"> de publication7 juil.</w:t>
      </w:r>
      <w:r>
        <w:rPr>
          <w:sz w:val="18"/>
          <w:lang w:val="fr-FR"/>
        </w:rPr>
        <w:t xml:space="preserve"> </w:t>
      </w:r>
      <w:r w:rsidRPr="00937B80">
        <w:rPr>
          <w:sz w:val="18"/>
          <w:lang w:val="fr-FR"/>
        </w:rPr>
        <w:t xml:space="preserve">PAMJ </w:t>
      </w:r>
      <w:proofErr w:type="spellStart"/>
      <w:r w:rsidRPr="00937B80">
        <w:rPr>
          <w:sz w:val="18"/>
          <w:lang w:val="fr-FR"/>
        </w:rPr>
        <w:t>Clinical</w:t>
      </w:r>
      <w:proofErr w:type="spellEnd"/>
      <w:r w:rsidRPr="00937B80">
        <w:rPr>
          <w:sz w:val="18"/>
          <w:lang w:val="fr-FR"/>
        </w:rPr>
        <w:t xml:space="preserve"> </w:t>
      </w:r>
      <w:proofErr w:type="spellStart"/>
      <w:r w:rsidRPr="00937B80">
        <w:rPr>
          <w:sz w:val="18"/>
          <w:lang w:val="fr-FR"/>
        </w:rPr>
        <w:t>Medicine</w:t>
      </w:r>
      <w:proofErr w:type="spellEnd"/>
    </w:p>
    <w:p w:rsidR="00AE3E37" w:rsidRPr="00937B80" w:rsidRDefault="00AE3E37" w:rsidP="00937B80">
      <w:pPr>
        <w:pStyle w:val="BodyText"/>
        <w:spacing w:before="85" w:line="216" w:lineRule="exact"/>
        <w:ind w:left="383" w:right="138" w:hanging="284"/>
        <w:jc w:val="both"/>
        <w:rPr>
          <w:lang w:val="fr-FR"/>
        </w:rPr>
      </w:pPr>
    </w:p>
    <w:p w:rsidR="00AE3E37" w:rsidRPr="00937B80" w:rsidRDefault="008756E6">
      <w:pPr>
        <w:spacing w:line="200" w:lineRule="exact"/>
        <w:jc w:val="both"/>
        <w:rPr>
          <w:rFonts w:ascii="Calibri" w:hAnsi="Calibri"/>
          <w:lang w:val="fr-FR"/>
        </w:rPr>
        <w:sectPr w:rsidR="00AE3E37" w:rsidRPr="00937B80" w:rsidSect="008E5477">
          <w:type w:val="continuous"/>
          <w:pgSz w:w="11910" w:h="16840"/>
          <w:pgMar w:top="995" w:right="600" w:bottom="840" w:left="620" w:header="720" w:footer="720" w:gutter="0"/>
          <w:cols w:num="2" w:space="720" w:equalWidth="0">
            <w:col w:w="5214" w:space="138"/>
            <w:col w:w="5338"/>
          </w:cols>
        </w:sectPr>
      </w:pPr>
      <w:r w:rsidRPr="00937B80">
        <w:rPr>
          <w:rFonts w:ascii="Calibri" w:hAnsi="Calibri"/>
          <w:lang w:val="fr-FR"/>
        </w:rPr>
        <w:t xml:space="preserve">   </w:t>
      </w:r>
    </w:p>
    <w:p w:rsidR="00AE3E37" w:rsidRPr="00937B80" w:rsidRDefault="00AE3E37">
      <w:pPr>
        <w:pStyle w:val="BodyText"/>
        <w:rPr>
          <w:rFonts w:ascii="Calibri"/>
          <w:sz w:val="20"/>
          <w:lang w:val="fr-FR"/>
        </w:rPr>
      </w:pPr>
    </w:p>
    <w:p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4728E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937B80">
        <w:rPr>
          <w:noProof/>
        </w:rPr>
        <w:t xml:space="preserve"> </w:t>
      </w:r>
      <w:r w:rsidR="00A9710C">
        <w:rPr>
          <w:rFonts w:ascii="Arial"/>
          <w:color w:val="BF5A14"/>
        </w:rPr>
        <w:t>Biography</w:t>
      </w:r>
      <w:r w:rsidR="00404E5B">
        <w:rPr>
          <w:rFonts w:ascii="Arial"/>
          <w:color w:val="BF5A14"/>
        </w:rPr>
        <w:t xml:space="preserve"> </w:t>
      </w:r>
    </w:p>
    <w:p w:rsidR="00937B80" w:rsidRPr="00937B80" w:rsidRDefault="00792D93" w:rsidP="00937B80">
      <w:pPr>
        <w:pStyle w:val="BodyText"/>
        <w:spacing w:before="73" w:line="198" w:lineRule="exact"/>
        <w:ind w:left="100" w:right="5987"/>
        <w:rPr>
          <w:rFonts w:ascii="Arial" w:hAnsi="Arial" w:cs="Arial"/>
          <w:color w:val="000000" w:themeColor="text1"/>
          <w:sz w:val="14"/>
          <w:szCs w:val="22"/>
        </w:rPr>
      </w:pPr>
      <w:r w:rsidRPr="00792D93">
        <w:rPr>
          <w:rFonts w:ascii="Arial" w:hAnsi="Arial" w:cs="Arial"/>
          <w:color w:val="000000" w:themeColor="text1"/>
          <w:sz w:val="14"/>
          <w:szCs w:val="22"/>
        </w:rPr>
        <w:t xml:space="preserve">My name is Amine HADDAD, I am in the 4th year of my specialty in ophthalmology in Morocco and I am currently doing an internship in Paris. I have always been fascinated by the genetics of ophthalmological diseases, which is why I chose the genetics of glaucoma as the subject of my </w:t>
      </w:r>
      <w:proofErr w:type="spellStart"/>
      <w:r w:rsidRPr="00792D93">
        <w:rPr>
          <w:rFonts w:ascii="Arial" w:hAnsi="Arial" w:cs="Arial"/>
          <w:color w:val="000000" w:themeColor="text1"/>
          <w:sz w:val="14"/>
          <w:szCs w:val="22"/>
        </w:rPr>
        <w:t>Phd</w:t>
      </w:r>
      <w:proofErr w:type="spellEnd"/>
      <w:r w:rsidR="00937B80">
        <w:rPr>
          <w:rFonts w:ascii="Arial" w:hAnsi="Arial" w:cs="Arial"/>
          <w:color w:val="000000" w:themeColor="text1"/>
          <w:sz w:val="14"/>
          <w:szCs w:val="22"/>
        </w:rPr>
        <w:t xml:space="preserve"> in the</w:t>
      </w:r>
      <w:r w:rsidR="00937B80" w:rsidRPr="00937B80">
        <w:rPr>
          <w:rFonts w:ascii="Arial" w:hAnsi="Arial" w:cs="Arial"/>
          <w:color w:val="000000" w:themeColor="text1"/>
          <w:sz w:val="14"/>
          <w:szCs w:val="22"/>
        </w:rPr>
        <w:t xml:space="preserve"> Laboratory of Medical Genetics and Molecular Pathology,  Department of Medicine and </w:t>
      </w:r>
      <w:proofErr w:type="spellStart"/>
      <w:r w:rsidR="00937B80" w:rsidRPr="00937B80">
        <w:rPr>
          <w:rFonts w:ascii="Arial" w:hAnsi="Arial" w:cs="Arial"/>
          <w:color w:val="000000" w:themeColor="text1"/>
          <w:sz w:val="14"/>
          <w:szCs w:val="22"/>
        </w:rPr>
        <w:t>Pharmacy,Hassan</w:t>
      </w:r>
      <w:proofErr w:type="spellEnd"/>
      <w:r w:rsidR="00937B80" w:rsidRPr="00937B80">
        <w:rPr>
          <w:rFonts w:ascii="Arial" w:hAnsi="Arial" w:cs="Arial"/>
          <w:color w:val="000000" w:themeColor="text1"/>
          <w:sz w:val="14"/>
          <w:szCs w:val="22"/>
        </w:rPr>
        <w:t xml:space="preserve"> II University of Casablanca, Morocco</w:t>
      </w:r>
    </w:p>
    <w:p w:rsidR="00792D93" w:rsidRPr="00792D93" w:rsidRDefault="00792D93" w:rsidP="00937B80">
      <w:pPr>
        <w:pStyle w:val="BodyText"/>
        <w:spacing w:before="73" w:line="198" w:lineRule="exact"/>
        <w:ind w:left="100" w:right="5987"/>
        <w:rPr>
          <w:rFonts w:ascii="Arial" w:hAnsi="Arial" w:cs="Arial"/>
          <w:color w:val="000000" w:themeColor="text1"/>
          <w:sz w:val="14"/>
          <w:szCs w:val="22"/>
        </w:rPr>
      </w:pPr>
      <w:r w:rsidRPr="00792D93">
        <w:rPr>
          <w:rFonts w:ascii="Arial" w:hAnsi="Arial" w:cs="Arial"/>
          <w:color w:val="000000" w:themeColor="text1"/>
          <w:sz w:val="14"/>
          <w:szCs w:val="22"/>
        </w:rPr>
        <w:t>I am also a member in several learned societies in ophthalmology.</w:t>
      </w:r>
    </w:p>
    <w:p w:rsidR="00AE3E37" w:rsidRDefault="00A9710C" w:rsidP="00937B80">
      <w:pPr>
        <w:spacing w:before="62"/>
        <w:ind w:left="4217" w:right="4235"/>
        <w:jc w:val="center"/>
        <w:rPr>
          <w:rFonts w:ascii="Arial"/>
          <w:sz w:val="14"/>
        </w:rPr>
      </w:pPr>
      <w:r>
        <w:rPr>
          <w:rFonts w:ascii="Arial"/>
          <w:sz w:val="14"/>
        </w:rPr>
        <w:t>Email</w:t>
      </w:r>
      <w:r w:rsidR="00792D93">
        <w:rPr>
          <w:rFonts w:ascii="Arial"/>
          <w:sz w:val="14"/>
        </w:rPr>
        <w:t>: Aminedoc01@hotmail.f</w:t>
      </w:r>
      <w:r w:rsidR="00292ED9">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D828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937B80">
        <w:rPr>
          <w:rFonts w:ascii="Arial"/>
          <w:sz w:val="14"/>
        </w:rPr>
        <w:t>r</w:t>
      </w:r>
    </w:p>
    <w:p w:rsidR="00937B80" w:rsidRDefault="00937B80" w:rsidP="00937B80">
      <w:pPr>
        <w:spacing w:before="62"/>
        <w:ind w:left="4217" w:right="4235"/>
        <w:jc w:val="center"/>
        <w:rPr>
          <w:rFonts w:ascii="Arial"/>
          <w:sz w:val="14"/>
        </w:rPr>
      </w:pPr>
    </w:p>
    <w:p w:rsidR="00937B80" w:rsidRPr="0013708E" w:rsidRDefault="00937B80" w:rsidP="00937B80">
      <w:pPr>
        <w:jc w:val="both"/>
        <w:rPr>
          <w:b/>
        </w:rPr>
      </w:pPr>
      <w:r w:rsidRPr="0013708E">
        <w:rPr>
          <w:b/>
        </w:rPr>
        <w:t xml:space="preserve">Presenting author details </w:t>
      </w:r>
    </w:p>
    <w:p w:rsidR="00937B80" w:rsidRPr="0013708E" w:rsidRDefault="00937B80" w:rsidP="00937B80">
      <w:pPr>
        <w:jc w:val="both"/>
      </w:pPr>
      <w:r w:rsidRPr="0013708E">
        <w:t>Full name:</w:t>
      </w:r>
      <w:r>
        <w:t xml:space="preserve"> HADDAD Amine</w:t>
      </w:r>
      <w:r w:rsidRPr="0013708E">
        <w:t xml:space="preserve"> </w:t>
      </w:r>
    </w:p>
    <w:p w:rsidR="00937B80" w:rsidRDefault="00937B80" w:rsidP="00937B80">
      <w:pPr>
        <w:jc w:val="both"/>
      </w:pPr>
      <w:r w:rsidRPr="0013708E">
        <w:t>Contact number:</w:t>
      </w:r>
      <w:r>
        <w:t xml:space="preserve"> 00331 7 53 88 55 04</w:t>
      </w:r>
    </w:p>
    <w:p w:rsidR="00937B80" w:rsidRPr="0013708E" w:rsidRDefault="00937B80" w:rsidP="00937B80">
      <w:pPr>
        <w:jc w:val="both"/>
      </w:pPr>
      <w:r>
        <w:t>Mail id: aminedoc01@hotmail.fr</w:t>
      </w:r>
    </w:p>
    <w:p w:rsidR="00937B80" w:rsidRDefault="00937B80" w:rsidP="00937B80">
      <w:pPr>
        <w:jc w:val="both"/>
      </w:pPr>
      <w:r w:rsidRPr="0013708E">
        <w:t>Category: Oral presentati</w:t>
      </w:r>
      <w:r>
        <w:t xml:space="preserve">on  </w:t>
      </w:r>
    </w:p>
    <w:p w:rsidR="00937B80" w:rsidRPr="00937B80" w:rsidRDefault="00937B80" w:rsidP="00937B80">
      <w:pPr>
        <w:spacing w:before="62"/>
        <w:ind w:left="4217" w:right="4235"/>
        <w:jc w:val="center"/>
        <w:rPr>
          <w:rFonts w:ascii="Arial"/>
          <w:sz w:val="14"/>
        </w:rPr>
        <w:sectPr w:rsidR="00937B80" w:rsidRPr="00937B80" w:rsidSect="008E5477">
          <w:type w:val="continuous"/>
          <w:pgSz w:w="11910" w:h="16840"/>
          <w:pgMar w:top="995" w:right="600" w:bottom="840" w:left="620" w:header="720" w:footer="720" w:gutter="0"/>
          <w:cols w:space="720"/>
        </w:sectPr>
      </w:pP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0F1E" w:rsidRDefault="00140F1E">
      <w:r>
        <w:separator/>
      </w:r>
    </w:p>
  </w:endnote>
  <w:endnote w:type="continuationSeparator" w:id="0">
    <w:p w:rsidR="00140F1E" w:rsidRDefault="00140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altName w:val="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0F1E" w:rsidRDefault="00140F1E">
      <w:r>
        <w:separator/>
      </w:r>
    </w:p>
  </w:footnote>
  <w:footnote w:type="continuationSeparator" w:id="0">
    <w:p w:rsidR="00140F1E" w:rsidRDefault="00140F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05B1B"/>
    <w:multiLevelType w:val="hybridMultilevel"/>
    <w:tmpl w:val="E6E4770E"/>
    <w:lvl w:ilvl="0" w:tplc="B00C40A2">
      <w:start w:val="1"/>
      <w:numFmt w:val="upperLetter"/>
      <w:lvlText w:val="%1."/>
      <w:lvlJc w:val="left"/>
      <w:pPr>
        <w:ind w:left="360" w:hanging="360"/>
      </w:pPr>
      <w:rPr>
        <w:rFonts w:hint="default"/>
        <w:u w:val="singl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40F1E"/>
    <w:rsid w:val="00193EEA"/>
    <w:rsid w:val="00292ED9"/>
    <w:rsid w:val="00351D9B"/>
    <w:rsid w:val="00380299"/>
    <w:rsid w:val="003F01F0"/>
    <w:rsid w:val="00403009"/>
    <w:rsid w:val="00404E5B"/>
    <w:rsid w:val="00414F7B"/>
    <w:rsid w:val="004355DC"/>
    <w:rsid w:val="004749B4"/>
    <w:rsid w:val="00494130"/>
    <w:rsid w:val="004F3523"/>
    <w:rsid w:val="005973B9"/>
    <w:rsid w:val="005B3A56"/>
    <w:rsid w:val="006060CE"/>
    <w:rsid w:val="0061505C"/>
    <w:rsid w:val="0063497F"/>
    <w:rsid w:val="00714354"/>
    <w:rsid w:val="00780E44"/>
    <w:rsid w:val="00792D93"/>
    <w:rsid w:val="00873DF0"/>
    <w:rsid w:val="008756E6"/>
    <w:rsid w:val="00897EC5"/>
    <w:rsid w:val="008E5477"/>
    <w:rsid w:val="00937B80"/>
    <w:rsid w:val="009B2D44"/>
    <w:rsid w:val="00A07E82"/>
    <w:rsid w:val="00A52075"/>
    <w:rsid w:val="00A9710C"/>
    <w:rsid w:val="00AE3E37"/>
    <w:rsid w:val="00B21A57"/>
    <w:rsid w:val="00C33602"/>
    <w:rsid w:val="00C56C74"/>
    <w:rsid w:val="00CD6F55"/>
    <w:rsid w:val="00DE3104"/>
    <w:rsid w:val="00DE6170"/>
    <w:rsid w:val="00E30AAC"/>
    <w:rsid w:val="00E95D97"/>
    <w:rsid w:val="00EA5506"/>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F43ACF-B73A-4B2A-B87C-F971BA53F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40300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792D93"/>
    <w:pPr>
      <w:widowControl/>
      <w:spacing w:before="100" w:beforeAutospacing="1" w:after="100" w:afterAutospacing="1"/>
    </w:pPr>
    <w:rPr>
      <w:rFonts w:ascii="Times New Roman" w:eastAsia="Times New Roman" w:hAnsi="Times New Roman" w:cs="Times New Roman"/>
      <w:sz w:val="24"/>
      <w:szCs w:val="24"/>
      <w:lang w:val="fr-FR" w:eastAsia="fr-FR"/>
    </w:rPr>
  </w:style>
  <w:style w:type="character" w:styleId="Emphasis">
    <w:name w:val="Emphasis"/>
    <w:basedOn w:val="DefaultParagraphFont"/>
    <w:uiPriority w:val="20"/>
    <w:qFormat/>
    <w:rsid w:val="00792D93"/>
    <w:rPr>
      <w:i/>
      <w:iCs/>
    </w:rPr>
  </w:style>
  <w:style w:type="character" w:customStyle="1" w:styleId="Heading4Char">
    <w:name w:val="Heading 4 Char"/>
    <w:basedOn w:val="DefaultParagraphFont"/>
    <w:link w:val="Heading4"/>
    <w:uiPriority w:val="9"/>
    <w:semiHidden/>
    <w:rsid w:val="00403009"/>
    <w:rPr>
      <w:rFonts w:asciiTheme="majorHAnsi" w:eastAsiaTheme="majorEastAsia" w:hAnsiTheme="majorHAnsi" w:cstheme="majorBidi"/>
      <w:i/>
      <w:iCs/>
      <w:color w:val="365F91" w:themeColor="accent1" w:themeShade="BF"/>
    </w:rPr>
  </w:style>
  <w:style w:type="paragraph" w:customStyle="1" w:styleId="t-14">
    <w:name w:val="t-14"/>
    <w:basedOn w:val="Normal"/>
    <w:rsid w:val="00193EEA"/>
    <w:pPr>
      <w:widowControl/>
      <w:spacing w:before="100" w:beforeAutospacing="1" w:after="100" w:afterAutospacing="1"/>
    </w:pPr>
    <w:rPr>
      <w:rFonts w:ascii="Times New Roman" w:eastAsia="Times New Roman" w:hAnsi="Times New Roman" w:cs="Times New Roman"/>
      <w:sz w:val="24"/>
      <w:szCs w:val="24"/>
      <w:lang w:val="fr-FR" w:eastAsia="fr-FR"/>
    </w:rPr>
  </w:style>
  <w:style w:type="character" w:customStyle="1" w:styleId="pv-accomplishment-entitydate">
    <w:name w:val="pv-accomplishment-entity__date"/>
    <w:basedOn w:val="DefaultParagraphFont"/>
    <w:rsid w:val="00193EEA"/>
  </w:style>
  <w:style w:type="character" w:customStyle="1" w:styleId="visually-hidden">
    <w:name w:val="visually-hidden"/>
    <w:basedOn w:val="DefaultParagraphFont"/>
    <w:rsid w:val="00193EEA"/>
  </w:style>
  <w:style w:type="character" w:customStyle="1" w:styleId="pv-accomplishment-entitypublisher">
    <w:name w:val="pv-accomplishment-entity__publisher"/>
    <w:basedOn w:val="DefaultParagraphFont"/>
    <w:rsid w:val="00193EEA"/>
  </w:style>
  <w:style w:type="character" w:customStyle="1" w:styleId="title-text">
    <w:name w:val="title-text"/>
    <w:basedOn w:val="DefaultParagraphFont"/>
    <w:rsid w:val="00193EEA"/>
  </w:style>
  <w:style w:type="character" w:customStyle="1" w:styleId="article-alt-title">
    <w:name w:val="article-alt-title"/>
    <w:basedOn w:val="DefaultParagraphFont"/>
    <w:rsid w:val="00193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76271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39057867">
      <w:bodyDiv w:val="1"/>
      <w:marLeft w:val="0"/>
      <w:marRight w:val="0"/>
      <w:marTop w:val="0"/>
      <w:marBottom w:val="0"/>
      <w:divBdr>
        <w:top w:val="none" w:sz="0" w:space="0" w:color="auto"/>
        <w:left w:val="none" w:sz="0" w:space="0" w:color="auto"/>
        <w:bottom w:val="none" w:sz="0" w:space="0" w:color="auto"/>
        <w:right w:val="none" w:sz="0" w:space="0" w:color="auto"/>
      </w:divBdr>
    </w:div>
    <w:div w:id="126746793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8294403">
      <w:bodyDiv w:val="1"/>
      <w:marLeft w:val="0"/>
      <w:marRight w:val="0"/>
      <w:marTop w:val="0"/>
      <w:marBottom w:val="0"/>
      <w:divBdr>
        <w:top w:val="none" w:sz="0" w:space="0" w:color="auto"/>
        <w:left w:val="none" w:sz="0" w:space="0" w:color="auto"/>
        <w:bottom w:val="none" w:sz="0" w:space="0" w:color="auto"/>
        <w:right w:val="none" w:sz="0" w:space="0" w:color="auto"/>
      </w:divBdr>
    </w:div>
    <w:div w:id="1641493026">
      <w:bodyDiv w:val="1"/>
      <w:marLeft w:val="0"/>
      <w:marRight w:val="0"/>
      <w:marTop w:val="0"/>
      <w:marBottom w:val="0"/>
      <w:divBdr>
        <w:top w:val="none" w:sz="0" w:space="0" w:color="auto"/>
        <w:left w:val="none" w:sz="0" w:space="0" w:color="auto"/>
        <w:bottom w:val="none" w:sz="0" w:space="0" w:color="auto"/>
        <w:right w:val="none" w:sz="0" w:space="0" w:color="auto"/>
      </w:divBdr>
    </w:div>
    <w:div w:id="1810707630">
      <w:bodyDiv w:val="1"/>
      <w:marLeft w:val="0"/>
      <w:marRight w:val="0"/>
      <w:marTop w:val="0"/>
      <w:marBottom w:val="0"/>
      <w:divBdr>
        <w:top w:val="none" w:sz="0" w:space="0" w:color="auto"/>
        <w:left w:val="none" w:sz="0" w:space="0" w:color="auto"/>
        <w:bottom w:val="none" w:sz="0" w:space="0" w:color="auto"/>
        <w:right w:val="none" w:sz="0" w:space="0" w:color="auto"/>
      </w:divBdr>
      <w:divsChild>
        <w:div w:id="583150171">
          <w:marLeft w:val="0"/>
          <w:marRight w:val="0"/>
          <w:marTop w:val="0"/>
          <w:marBottom w:val="0"/>
          <w:divBdr>
            <w:top w:val="none" w:sz="0" w:space="0" w:color="auto"/>
            <w:left w:val="none" w:sz="0" w:space="0" w:color="auto"/>
            <w:bottom w:val="none" w:sz="0" w:space="0" w:color="auto"/>
            <w:right w:val="none" w:sz="0" w:space="0" w:color="auto"/>
          </w:divBdr>
        </w:div>
      </w:divsChild>
    </w:div>
    <w:div w:id="1938100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doi.org/10.1016/j.jfo.2020.11.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1163</Words>
  <Characters>6398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Amine Haddad</cp:lastModifiedBy>
  <cp:revision>16</cp:revision>
  <dcterms:created xsi:type="dcterms:W3CDTF">2016-08-31T12:08:00Z</dcterms:created>
  <dcterms:modified xsi:type="dcterms:W3CDTF">2021-11-03T11:52:00Z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