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641E89">
      <w:pPr>
        <w:pStyle w:val="Corpotesto"/>
        <w:spacing w:before="3"/>
        <w:rPr>
          <w:rFonts w:ascii="Arial"/>
          <w:sz w:val="21"/>
        </w:rPr>
      </w:pPr>
      <w:r w:rsidRPr="00641E89">
        <w:rPr>
          <w:rFonts w:ascii="Times New Roman" w:eastAsia="MS Mincho" w:hAnsi="Times New Roman" w:cs="Times New Roman"/>
          <w:b/>
          <w:bCs/>
          <w:sz w:val="24"/>
          <w:szCs w:val="24"/>
          <w:lang w:val="en-GB" w:eastAsia="ja-JP"/>
        </w:rPr>
        <w:t>BIOSIMILAR EPOETIN ALFA INCREASES HAEMOGLOBIN LEVELS AND BRINGS COGNITIVE AND SOCIO-RELATIONAL BENEFITS TO ELDERLY TRANSFUSION DEPENDENT MULTIPLE MYELOMA PATIENTS: RESULTS FROM A PILOT STUDY.</w:t>
      </w:r>
    </w:p>
    <w:p w:rsidR="00AE3E37" w:rsidRDefault="00AE3E37">
      <w:pPr>
        <w:rPr>
          <w:rFonts w:ascii="Arial"/>
          <w:sz w:val="21"/>
        </w:rPr>
      </w:pPr>
    </w:p>
    <w:p w:rsidR="00BD3747" w:rsidRDefault="00BD3747">
      <w:pPr>
        <w:rPr>
          <w:rFonts w:ascii="Arial"/>
          <w:sz w:val="21"/>
        </w:rPr>
      </w:pPr>
      <w:r>
        <w:rPr>
          <w:rFonts w:ascii="Arial"/>
          <w:sz w:val="21"/>
        </w:rPr>
        <w:t xml:space="preserve">Roberto Castelli </w:t>
      </w:r>
    </w:p>
    <w:p w:rsidR="00BD3747" w:rsidRPr="00A2674D" w:rsidRDefault="00BD3747" w:rsidP="00BD3747">
      <w:pPr>
        <w:spacing w:line="480" w:lineRule="auto"/>
        <w:rPr>
          <w:rFonts w:ascii="Palatino Linotype" w:hAnsi="Palatino Linotype"/>
          <w:sz w:val="24"/>
          <w:szCs w:val="24"/>
        </w:rPr>
      </w:pPr>
      <w:r w:rsidRPr="00A2674D">
        <w:rPr>
          <w:rFonts w:ascii="Palatino Linotype" w:hAnsi="Palatino Linotype"/>
          <w:sz w:val="24"/>
          <w:szCs w:val="24"/>
        </w:rPr>
        <w:t>Department of Biomedical and Clinical Sciences Luigi Sacco, U</w:t>
      </w:r>
      <w:r>
        <w:rPr>
          <w:rFonts w:ascii="Palatino Linotype" w:hAnsi="Palatino Linotype"/>
          <w:sz w:val="24"/>
          <w:szCs w:val="24"/>
        </w:rPr>
        <w:t xml:space="preserve">niversity of Milan, Luigi Sacco </w:t>
      </w:r>
      <w:r w:rsidRPr="00A2674D">
        <w:rPr>
          <w:rFonts w:ascii="Palatino Linotype" w:hAnsi="Palatino Linotype"/>
          <w:sz w:val="24"/>
          <w:szCs w:val="24"/>
        </w:rPr>
        <w:t>Hospital Milan, Milan, Italy.</w:t>
      </w:r>
    </w:p>
    <w:p w:rsidR="00BD3747" w:rsidRDefault="00BD3747">
      <w:pPr>
        <w:rPr>
          <w:rFonts w:ascii="Arial"/>
          <w:sz w:val="21"/>
        </w:rPr>
      </w:pPr>
    </w:p>
    <w:p w:rsidR="00BD3747" w:rsidRDefault="00BD3747">
      <w:pPr>
        <w:rPr>
          <w:rFonts w:ascii="Arial"/>
          <w:sz w:val="21"/>
        </w:rPr>
        <w:sectPr w:rsidR="00BD3747">
          <w:headerReference w:type="default" r:id="rId8"/>
          <w:footerReference w:type="default" r:id="rId9"/>
          <w:type w:val="continuous"/>
          <w:pgSz w:w="11910" w:h="16840"/>
          <w:pgMar w:top="1740" w:right="600" w:bottom="840" w:left="620" w:header="541" w:footer="642" w:gutter="0"/>
          <w:cols w:space="720"/>
        </w:sectPr>
      </w:pPr>
      <w:r>
        <w:rPr>
          <w:rFonts w:ascii="Arial"/>
          <w:sz w:val="21"/>
        </w:rPr>
        <w:t xml:space="preserve">  </w:t>
      </w:r>
    </w:p>
    <w:p w:rsidR="00AE3E37" w:rsidRDefault="00A9710C">
      <w:pPr>
        <w:pStyle w:val="Titolo3"/>
        <w:spacing w:before="147"/>
        <w:jc w:val="both"/>
      </w:pPr>
      <w:r>
        <w:rPr>
          <w:color w:val="BF5A14"/>
        </w:rPr>
        <w:t>Abstract</w:t>
      </w:r>
      <w:r w:rsidR="00404E5B">
        <w:rPr>
          <w:color w:val="BF5A14"/>
        </w:rPr>
        <w:t xml:space="preserve"> (300 word limit)</w:t>
      </w:r>
    </w:p>
    <w:p w:rsidR="00BD3747" w:rsidRDefault="00BD3747">
      <w:pPr>
        <w:pStyle w:val="Corpotesto"/>
        <w:spacing w:before="90" w:line="280" w:lineRule="auto"/>
        <w:ind w:left="100"/>
        <w:jc w:val="both"/>
      </w:pPr>
      <w:r w:rsidRPr="0059691D">
        <w:rPr>
          <w:rFonts w:ascii="Arial" w:eastAsia="Times New Roman" w:hAnsi="Arial" w:cs="Arial"/>
          <w:color w:val="000000"/>
          <w:sz w:val="21"/>
          <w:szCs w:val="21"/>
          <w:lang w:eastAsia="it-IT"/>
        </w:rPr>
        <w:t>.</w:t>
      </w:r>
    </w:p>
    <w:p w:rsidR="00641E89" w:rsidRPr="0059691D" w:rsidRDefault="00A9710C" w:rsidP="00641E89">
      <w:pPr>
        <w:autoSpaceDE w:val="0"/>
        <w:autoSpaceDN w:val="0"/>
        <w:adjustRightInd w:val="0"/>
        <w:spacing w:before="80"/>
        <w:jc w:val="both"/>
        <w:rPr>
          <w:rFonts w:ascii="Arial" w:eastAsia="Times New Roman" w:hAnsi="Arial" w:cs="Arial"/>
          <w:color w:val="000000"/>
          <w:sz w:val="21"/>
          <w:szCs w:val="21"/>
          <w:lang w:eastAsia="it-IT"/>
        </w:rPr>
      </w:pPr>
      <w:r>
        <w:t xml:space="preserve">Statement of the Problem: </w:t>
      </w:r>
      <w:r w:rsidR="00641E89" w:rsidRPr="00641E89">
        <w:rPr>
          <w:rFonts w:ascii="Times New Roman" w:eastAsia="MS Mincho" w:hAnsi="Times New Roman" w:cs="Times New Roman"/>
          <w:spacing w:val="-4"/>
          <w:sz w:val="24"/>
          <w:szCs w:val="24"/>
          <w:lang w:val="en-GB" w:eastAsia="ja-JP"/>
        </w:rPr>
        <w:t>Anaemia is a complication reported in up to 70% multiple myeloma patients (MM), with remarkable clinical, cognitive and socio-relational consequences.</w:t>
      </w:r>
      <w:r w:rsidR="00E24743">
        <w:rPr>
          <w:rFonts w:ascii="Times New Roman" w:eastAsia="MS Mincho" w:hAnsi="Times New Roman" w:cs="Times New Roman"/>
          <w:spacing w:val="-4"/>
          <w:sz w:val="24"/>
          <w:szCs w:val="24"/>
          <w:lang w:val="en-GB" w:eastAsia="ja-JP"/>
        </w:rPr>
        <w:fldChar w:fldCharType="begin" w:fldLock="1"/>
      </w:r>
      <w:r w:rsidR="00E24743">
        <w:rPr>
          <w:rFonts w:ascii="Times New Roman" w:eastAsia="MS Mincho" w:hAnsi="Times New Roman" w:cs="Times New Roman"/>
          <w:spacing w:val="-4"/>
          <w:sz w:val="24"/>
          <w:szCs w:val="24"/>
          <w:lang w:val="en-GB" w:eastAsia="ja-JP"/>
        </w:rPr>
        <w:instrText>ADDIN CSL_CITATION { "citationItems" : [ { "id" : "ITEM-1", "itemData" : { "DOI" : "10.1056/NEJMra041875", "ISBN" : "1474-547X LA - eng PT - Journal Article", "ISSN" : "1533-4406", "PMID" : "15509819", "abstract" : "Multiple myeloma, a plasma-cell neoplasm characterized by skeletal destruction, renal failure, anemia, and hypercalcemia, remains incurable. However, recent advances in its treatment, in particular, the use of thalidomide and such new drugs as bortezomib and CC-5013, are promising. This article discusses current therapy for multiple myeloma.", "author" : [ { "dropping-particle" : "", "family" : "Kyle", "given" : "Robert A", "non-dropping-particle" : "", "parse-names" : false, "suffix" : "" }, { "dropping-particle" : "", "family" : "Rajkumar", "given" : "S Vincent", "non-dropping-particle" : "", "parse-names" : false, "suffix" : "" } ], "container-title" : "The New England journal of medicine", "id" : "ITEM-1", "issue" : "18", "issued" : { "date-parts" : [ [ "2004" ] ] }, "page" : "1860-73", "title" : "Multiple myeloma.", "type" : "article-journal", "volume" : "351" }, "uris" : [ "http://www.mendeley.com/documents/?uuid=4c267061-bf30-4bc9-ad83-765012c4c13d" ] } ], "mendeley" : { "formattedCitation" : "[1]", "plainTextFormattedCitation" : "[1]", "previouslyFormattedCitation" : "[1]" }, "properties" : { "noteIndex" : 0 }, "schema" : "https://github.com/citation-style-language/schema/raw/master/csl-citation.json" }</w:instrText>
      </w:r>
      <w:r w:rsidR="00E24743">
        <w:rPr>
          <w:rFonts w:ascii="Times New Roman" w:eastAsia="MS Mincho" w:hAnsi="Times New Roman" w:cs="Times New Roman"/>
          <w:spacing w:val="-4"/>
          <w:sz w:val="24"/>
          <w:szCs w:val="24"/>
          <w:lang w:val="en-GB" w:eastAsia="ja-JP"/>
        </w:rPr>
        <w:fldChar w:fldCharType="separate"/>
      </w:r>
      <w:r w:rsidR="00E24743" w:rsidRPr="00E24743">
        <w:rPr>
          <w:rFonts w:ascii="Times New Roman" w:eastAsia="MS Mincho" w:hAnsi="Times New Roman" w:cs="Times New Roman"/>
          <w:noProof/>
          <w:spacing w:val="-4"/>
          <w:sz w:val="24"/>
          <w:szCs w:val="24"/>
          <w:lang w:val="en-GB" w:eastAsia="ja-JP"/>
        </w:rPr>
        <w:t>[1]</w:t>
      </w:r>
      <w:r w:rsidR="00E24743">
        <w:rPr>
          <w:rFonts w:ascii="Times New Roman" w:eastAsia="MS Mincho" w:hAnsi="Times New Roman" w:cs="Times New Roman"/>
          <w:spacing w:val="-4"/>
          <w:sz w:val="24"/>
          <w:szCs w:val="24"/>
          <w:lang w:val="en-GB" w:eastAsia="ja-JP"/>
        </w:rPr>
        <w:fldChar w:fldCharType="end"/>
      </w:r>
      <w:r w:rsidR="00641E89">
        <w:rPr>
          <w:rFonts w:ascii="Times New Roman" w:eastAsia="MS Mincho" w:hAnsi="Times New Roman" w:cs="Times New Roman"/>
          <w:spacing w:val="-4"/>
          <w:sz w:val="24"/>
          <w:szCs w:val="24"/>
          <w:lang w:val="en-GB" w:eastAsia="ja-JP"/>
        </w:rPr>
        <w:t xml:space="preserve"> </w:t>
      </w:r>
      <w:r w:rsidR="00641E89" w:rsidRPr="00641E89">
        <w:rPr>
          <w:rFonts w:ascii="Times New Roman" w:eastAsia="MS Mincho" w:hAnsi="Times New Roman" w:cs="Times New Roman"/>
          <w:spacing w:val="-4"/>
          <w:sz w:val="24"/>
          <w:szCs w:val="24"/>
          <w:lang w:val="en-GB" w:eastAsia="ja-JP"/>
        </w:rPr>
        <w:t>Anaemia relates to the course of MM, normalizing in patients during remission, and reappearing in relapsing/non-responding patients</w:t>
      </w:r>
      <w:r w:rsidR="00E24743">
        <w:rPr>
          <w:rFonts w:ascii="Times New Roman" w:eastAsia="MS Mincho" w:hAnsi="Times New Roman" w:cs="Times New Roman"/>
          <w:spacing w:val="-4"/>
          <w:sz w:val="24"/>
          <w:szCs w:val="24"/>
          <w:lang w:val="en-GB" w:eastAsia="ja-JP"/>
        </w:rPr>
        <w:t xml:space="preserve"> </w:t>
      </w:r>
      <w:r w:rsidR="00E24743">
        <w:rPr>
          <w:rFonts w:ascii="Times New Roman" w:eastAsia="MS Mincho" w:hAnsi="Times New Roman" w:cs="Times New Roman"/>
          <w:spacing w:val="-4"/>
          <w:sz w:val="24"/>
          <w:szCs w:val="24"/>
          <w:lang w:val="en-GB" w:eastAsia="ja-JP"/>
        </w:rPr>
        <w:fldChar w:fldCharType="begin" w:fldLock="1"/>
      </w:r>
      <w:r w:rsidR="00E24743">
        <w:rPr>
          <w:rFonts w:ascii="Times New Roman" w:eastAsia="MS Mincho" w:hAnsi="Times New Roman" w:cs="Times New Roman"/>
          <w:spacing w:val="-4"/>
          <w:sz w:val="24"/>
          <w:szCs w:val="24"/>
          <w:lang w:val="en-GB" w:eastAsia="ja-JP"/>
        </w:rPr>
        <w:instrText>ADDIN CSL_CITATION { "citationItems" : [ { "id" : "ITEM-1", "itemData" : { "ISBN" : "1543-0790", "ISSN" : "15430790", "PMID" : "16163188", "abstract" : "Anemia is a common complication in patients with multiple myeloma (MM) and occurs in more than two thirds of all patients. The most frequent underlying pathophysiological mechanism is anemia of chronic disease (ACD), relative erythropoietin (EPO) deficiency (due partly to renal impairment) and myelosuppressive effects of chemotherapy, but many other factors may account for or contribute to anemia in myeloma. In patients who achieve complete remission after chemotherapy, anemia usually normalizes. Nonresponders and relapsing myeloma patients often continue to suffer from anemia. Treatment options for anemic myeloma patients include red blood cell (RBC) transfusions and recombinant human erythropoietin (rHuEPO). Red blood cell transfusions convey an immediate effect and rapidly increase the patient's hemoglobin level. Unfortunately, effects of RBC transfusions are only transient and can be associated with several risks, including infections and mild to even life-threatening immunologic reactions. rHuEPO is biologically equivalent to the human endogenous hormone EPO, and its application leads to an increase of hemoglobin levels over an extended time without the risks of blood transfusions. Several studies reported a significant improvement of erythropoiesis, reduction in transfusion need, and improved quality of life by using rHuEPO as long-term treatment of myeloma-associated anemia. Recently, an international expert panel recommended the use of rHuEPO for anemic myeloma patients where other possible causes of anemia have been eliminated.", "author" : [ { "dropping-particle" : "", "family" : "Ludwig", "given" : "Heinz", "non-dropping-particle" : "", "parse-names" : false, "suffix" : "" }, { "dropping-particle" : "", "family" : "Pohl", "given" : "Gudrun", "non-dropping-particle" : "", "parse-names" : false, "suffix" : "" }, { "dropping-particle" : "", "family" : "Osterborg", "given" : "Anders", "non-dropping-particle" : "", "parse-names" : false, "suffix" : "" } ], "container-title" : "Clinical advances in hematology &amp; oncology : H&amp;O", "id" : "ITEM-1", "issue" : "4", "issued" : { "date-parts" : [ [ "2004" ] ] }, "page" : "233-241", "title" : "Anemia in multiple myeloma.", "type" : "article", "volume" : "2" }, "uris" : [ "http://www.mendeley.com/documents/?uuid=b9f6f213-4785-4a0a-a085-14fee8c4c468" ] } ], "mendeley" : { "formattedCitation" : "[2]", "plainTextFormattedCitation" : "[2]", "previouslyFormattedCitation" : "[2]" }, "properties" : { "noteIndex" : 0 }, "schema" : "https://github.com/citation-style-language/schema/raw/master/csl-citation.json" }</w:instrText>
      </w:r>
      <w:r w:rsidR="00E24743">
        <w:rPr>
          <w:rFonts w:ascii="Times New Roman" w:eastAsia="MS Mincho" w:hAnsi="Times New Roman" w:cs="Times New Roman"/>
          <w:spacing w:val="-4"/>
          <w:sz w:val="24"/>
          <w:szCs w:val="24"/>
          <w:lang w:val="en-GB" w:eastAsia="ja-JP"/>
        </w:rPr>
        <w:fldChar w:fldCharType="separate"/>
      </w:r>
      <w:r w:rsidR="00E24743" w:rsidRPr="00E24743">
        <w:rPr>
          <w:rFonts w:ascii="Times New Roman" w:eastAsia="MS Mincho" w:hAnsi="Times New Roman" w:cs="Times New Roman"/>
          <w:noProof/>
          <w:spacing w:val="-4"/>
          <w:sz w:val="24"/>
          <w:szCs w:val="24"/>
          <w:lang w:val="en-GB" w:eastAsia="ja-JP"/>
        </w:rPr>
        <w:t>[2]</w:t>
      </w:r>
      <w:r w:rsidR="00E24743">
        <w:rPr>
          <w:rFonts w:ascii="Times New Roman" w:eastAsia="MS Mincho" w:hAnsi="Times New Roman" w:cs="Times New Roman"/>
          <w:spacing w:val="-4"/>
          <w:sz w:val="24"/>
          <w:szCs w:val="24"/>
          <w:lang w:val="en-GB" w:eastAsia="ja-JP"/>
        </w:rPr>
        <w:fldChar w:fldCharType="end"/>
      </w:r>
      <w:r w:rsidR="00E24743">
        <w:rPr>
          <w:rFonts w:ascii="Times New Roman" w:eastAsia="MS Mincho" w:hAnsi="Times New Roman" w:cs="Times New Roman"/>
          <w:spacing w:val="-4"/>
          <w:sz w:val="24"/>
          <w:szCs w:val="24"/>
          <w:lang w:val="en-GB" w:eastAsia="ja-JP"/>
        </w:rPr>
        <w:fldChar w:fldCharType="begin" w:fldLock="1"/>
      </w:r>
      <w:r w:rsidR="00E24743">
        <w:rPr>
          <w:rFonts w:ascii="Times New Roman" w:eastAsia="MS Mincho" w:hAnsi="Times New Roman" w:cs="Times New Roman"/>
          <w:spacing w:val="-4"/>
          <w:sz w:val="24"/>
          <w:szCs w:val="24"/>
          <w:lang w:val="en-GB" w:eastAsia="ja-JP"/>
        </w:rPr>
        <w:instrText>ADDIN CSL_CITATION { "citationItems" : [ { "id" : "ITEM-1", "itemData" : { "DOI" : "10.1182/blood-2011-06-358812", "ISSN" : "1528-0020", "PMID" : "21841166", "abstract" : "Most patients with newly diagnosed multiple myeloma (MM) are aged &gt; 65 years with 30% aged &gt; 75 years. Many elderly patients are also vulnerable because of comorbidities that complicate the management of MM. The prevalence of MM is expected to rise over time because of an aging population. Most elderly patients with MM are ineligible for autologous transplantation, and the standard treatment has, until recently, been melphalan plus prednisone. The introduction of novel agents, such as thalidomide, bortezomib, and lenalidomide, has improved outcomes; however, elderly patients with MM are more susceptible to side effects and are often unable to tolerate full drug doses. For these patients, lower-dose-intensity regimens improve the safety profile and thus optimize treatment outcome. Further research into the best treatment strategies for vulnerable elderly patients is urgently needed. Appropriate screening for vulnerability and an assessment of cardiac, pulmonary, renal, hepatic, and neurologic functions, as well as age &gt; 75 years, at the start of therapy allows treatment strategies to be individualized and drug doses to be tailored to improve tolerability and optimize efficacy. Similarly, occurrence of serious nonhematologic adverse events during treatment should be carefully taken into account to adjust doses and optimize outcomes.", "author" : [ { "dropping-particle" : "", "family" : "Palumbo", "given" : "Antonio", "non-dropping-particle" : "", "parse-names" : false, "suffix" : "" }, { "dropping-particle" : "", "family" : "Bringhen", "given" : "Sara", "non-dropping-particle" : "", "parse-names" : false, "suffix" : "" }, { "dropping-particle" : "", "family" : "Ludwig", "given" : "Heinz", "non-dropping-particle" : "", "parse-names" : false, "suffix" : "" }, { "dropping-particle" : "", "family" : "Dimopoulos", "given" : "Meletios A", "non-dropping-particle" : "", "parse-names" : false, "suffix" : "" }, { "dropping-particle" : "", "family" : "Blad\u00e9", "given" : "Joan", "non-dropping-particle" : "", "parse-names" : false, "suffix" : "" }, { "dropping-particle" : "V", "family" : "Mateos", "given" : "Maria", "non-dropping-particle" : "", "parse-names" : false, "suffix" : "" }, { "dropping-particle" : "", "family" : "Rosi\u00f1ol", "given" : "Laura", "non-dropping-particle" : "", "parse-names" : false, "suffix" : "" }, { "dropping-particle" : "", "family" : "Boccadoro", "given" : "Mario", "non-dropping-particle" : "", "parse-names" : false, "suffix" : "" }, { "dropping-particle" : "", "family" : "Cavo", "given" : "Michele", "non-dropping-particle" : "", "parse-names" : false, "suffix" : "" }, { "dropping-particle" : "", "family" : "Lokhorst", "given" : "Henk", "non-dropping-particle" : "", "parse-names" : false, "suffix" : "" }, { "dropping-particle" : "", "family" : "Zweegman", "given" : "Sonja", "non-dropping-particle" : "", "parse-names" : false, "suffix" : "" }, { "dropping-particle" : "", "family" : "Terpos", "given" : "Evangelos", "non-dropping-particle" : "", "parse-names" : false, "suffix" : "" }, { "dropping-particle" : "", "family" : "Davies", "given" : "Faith", "non-dropping-particle" : "", "parse-names" : false, "suffix" : "" }, { "dropping-particle" : "", "family" : "Driessen", "given" : "Christoph", "non-dropping-particle" : "", "parse-names" : false, "suffix" : "" }, { "dropping-particle" : "", "family" : "Gimsing", "given" : "Peter", "non-dropping-particle" : "", "parse-names" : false, "suffix" : "" }, { "dropping-particle" : "", "family" : "Gramatzki", "given" : "Martin", "non-dropping-particle" : "", "parse-names" : false, "suffix" : "" }, { "dropping-particle" : "", "family" : "H\u00e0jek", "given" : "Roman", "non-dropping-particle" : "", "parse-names" : false, "suffix" : "" }, { "dropping-particle" : "", "family" : "Johnsen", "given" : "Hans E", "non-dropping-particle" : "", "parse-names" : false, "suffix" : "" }, { "dropping-particle" : "", "family" : "Leal Da Costa", "given" : "Fernando", "non-dropping-particle" : "", "parse-names" : false, "suffix" : "" }, { "dropping-particle" : "", "family" : "Sezer", "given" : "Orhan", "non-dropping-particle" : "", "parse-names" : false, "suffix" : "" }, { "dropping-particle" : "", "family" : "Spencer", "given" : "Andrew", "non-dropping-particle" : "", "parse-names" : false, "suffix" : "" }, { "dropping-particle" : "", "family" : "Beksac", "given" : "Meral", "non-dropping-particle" : "", "parse-names" : false, "suffix" : "" }, { "dropping-particle" : "", "family" : "Morgan", "given" : "Gareth", "non-dropping-particle" : "", "parse-names" : false, "suffix" : "" }, { "dropping-particle" : "", "family" : "Einsele", "given" : "Hermann", "non-dropping-particle" : "", "parse-names" : false, "suffix" : "" }, { "dropping-particle" : "", "family" : "San Miguel", "given" : "Jesus F", "non-dropping-particle" : "", "parse-names" : false, "suffix" : "" }, { "dropping-particle" : "", "family" : "Sonneveld", "given" : "Pieter", "non-dropping-particle" : "", "parse-names" : false, "suffix" : "" } ], "container-title" : "Blood", "id" : "ITEM-1", "issue" : "17", "issued" : { "date-parts" : [ [ "2011", "10", "27" ] ] }, "page" : "4519-29", "title" : "Personalized therapy in multiple myeloma according to patient age and vulnerability: a report of the European Myeloma Network (EMN).", "type" : "article-journal", "volume" : "118" }, "uris" : [ "http://www.mendeley.com/documents/?uuid=e4a14c26-5774-327c-a708-be3eae388c71" ] } ], "mendeley" : { "formattedCitation" : "[3]", "plainTextFormattedCitation" : "[3]", "previouslyFormattedCitation" : "[3]" }, "properties" : { "noteIndex" : 0 }, "schema" : "https://github.com/citation-style-language/schema/raw/master/csl-citation.json" }</w:instrText>
      </w:r>
      <w:r w:rsidR="00E24743">
        <w:rPr>
          <w:rFonts w:ascii="Times New Roman" w:eastAsia="MS Mincho" w:hAnsi="Times New Roman" w:cs="Times New Roman"/>
          <w:spacing w:val="-4"/>
          <w:sz w:val="24"/>
          <w:szCs w:val="24"/>
          <w:lang w:val="en-GB" w:eastAsia="ja-JP"/>
        </w:rPr>
        <w:fldChar w:fldCharType="separate"/>
      </w:r>
      <w:r w:rsidR="00E24743" w:rsidRPr="00E24743">
        <w:rPr>
          <w:rFonts w:ascii="Times New Roman" w:eastAsia="MS Mincho" w:hAnsi="Times New Roman" w:cs="Times New Roman"/>
          <w:noProof/>
          <w:spacing w:val="-4"/>
          <w:sz w:val="24"/>
          <w:szCs w:val="24"/>
          <w:lang w:val="en-GB" w:eastAsia="ja-JP"/>
        </w:rPr>
        <w:t>[3]</w:t>
      </w:r>
      <w:r w:rsidR="00E24743">
        <w:rPr>
          <w:rFonts w:ascii="Times New Roman" w:eastAsia="MS Mincho" w:hAnsi="Times New Roman" w:cs="Times New Roman"/>
          <w:spacing w:val="-4"/>
          <w:sz w:val="24"/>
          <w:szCs w:val="24"/>
          <w:lang w:val="en-GB" w:eastAsia="ja-JP"/>
        </w:rPr>
        <w:fldChar w:fldCharType="end"/>
      </w:r>
      <w:r w:rsidR="00E24743">
        <w:rPr>
          <w:rFonts w:ascii="Times New Roman" w:eastAsia="MS Mincho" w:hAnsi="Times New Roman" w:cs="Times New Roman"/>
          <w:spacing w:val="-4"/>
          <w:sz w:val="24"/>
          <w:szCs w:val="24"/>
          <w:lang w:val="en-GB" w:eastAsia="ja-JP"/>
        </w:rPr>
        <w:fldChar w:fldCharType="begin" w:fldLock="1"/>
      </w:r>
      <w:r w:rsidR="00E24743">
        <w:rPr>
          <w:rFonts w:ascii="Times New Roman" w:eastAsia="MS Mincho" w:hAnsi="Times New Roman" w:cs="Times New Roman"/>
          <w:spacing w:val="-4"/>
          <w:sz w:val="24"/>
          <w:szCs w:val="24"/>
          <w:lang w:val="en-GB" w:eastAsia="ja-JP"/>
        </w:rPr>
        <w:instrText>ADDIN CSL_CITATION { "citationItems" : [ { "id" : "ITEM-1", "itemData" : { "DOI" : "10.4137/CMO.S8014", "ISSN" : "1179-5549", "PMID" : "24179412", "abstract" : "Multiple myeloma (MM) is a neoplastic disorder. It results from proliferation of clonal plasma cells in bone marrow with production of monoclonal proteins, which are detectable in serum or urine. MM is clinically characterized by destructive bone lesions, anemia, hypercalcemia and renal insufficiency. Its prognosis is severe, with a median survival after diagnosis of approximately 3 years due to frequent relapses. Treatments for patients with relapsed/refractory MM include hematopoietic cell transplantation, a rechallenge using a previous chemotherapy regimen or a trial of a new regimen. The introduction of new drugs such as thalidomide, lenalidomide and bortezomib has markedly improved MM outcomes. When relapse occurs, the clinician's challenge is to select the optimal treatment for each patient while balancing efficacy and toxicity. Patients with indolent relapse can be first treated with a 2-drug or a 3-drug combination. Patients with more aggressive relapse often require therapy with a combination of multiple active agents. Autologous stem cell transplantation should be considered as salvage therapy at first relapse for patients who have cryopreserved stem cells early in the disease course. The aim of this review is to provide an overview on the pharmacological and molecular action of treatments used for patients with relapsed/refractory multiple myeloma.", "author" : [ { "dropping-particle" : "", "family" : "Castelli", "given" : "Roberto", "non-dropping-particle" : "", "parse-names" : false, "suffix" : "" }, { "dropping-particle" : "", "family" : "Gualtierotti", "given" : "Roberta", "non-dropping-particle" : "", "parse-names" : false, "suffix" : "" }, { "dropping-particle" : "", "family" : "Orofino", "given" : "Nicola", "non-dropping-particle" : "", "parse-names" : false, "suffix" : "" }, { "dropping-particle" : "", "family" : "Losurdo", "given" : "Agnese", "non-dropping-particle" : "", "parse-names" : false, "suffix" : "" }, { "dropping-particle" : "", "family" : "Gandolfi", "given" : "Sara", "non-dropping-particle" : "", "parse-names" : false, "suffix" : "" }, { "dropping-particle" : "", "family" : "Cugno", "given" : "Massimo", "non-dropping-particle" : "", "parse-names" : false, "suffix" : "" } ], "container-title" : "Clinical Medicine Insights. Oncology", "id" : "ITEM-1", "issued" : { "date-parts" : [ [ "2013" ] ] }, "page" : "209-19", "title" : "Current and emerging treatment options for patients with relapsed myeloma.", "type" : "article-journal", "volume" : "7" }, "uris" : [ "http://www.mendeley.com/documents/?uuid=7b7e5214-a31e-3d12-be2c-75cd628ea955" ] } ], "mendeley" : { "formattedCitation" : "[4]", "plainTextFormattedCitation" : "[4]", "previouslyFormattedCitation" : "[4]" }, "properties" : { "noteIndex" : 0 }, "schema" : "https://github.com/citation-style-language/schema/raw/master/csl-citation.json" }</w:instrText>
      </w:r>
      <w:r w:rsidR="00E24743">
        <w:rPr>
          <w:rFonts w:ascii="Times New Roman" w:eastAsia="MS Mincho" w:hAnsi="Times New Roman" w:cs="Times New Roman"/>
          <w:spacing w:val="-4"/>
          <w:sz w:val="24"/>
          <w:szCs w:val="24"/>
          <w:lang w:val="en-GB" w:eastAsia="ja-JP"/>
        </w:rPr>
        <w:fldChar w:fldCharType="separate"/>
      </w:r>
      <w:r w:rsidR="00E24743" w:rsidRPr="00E24743">
        <w:rPr>
          <w:rFonts w:ascii="Times New Roman" w:eastAsia="MS Mincho" w:hAnsi="Times New Roman" w:cs="Times New Roman"/>
          <w:noProof/>
          <w:spacing w:val="-4"/>
          <w:sz w:val="24"/>
          <w:szCs w:val="24"/>
          <w:lang w:val="en-GB" w:eastAsia="ja-JP"/>
        </w:rPr>
        <w:t>[4]</w:t>
      </w:r>
      <w:r w:rsidR="00E24743">
        <w:rPr>
          <w:rFonts w:ascii="Times New Roman" w:eastAsia="MS Mincho" w:hAnsi="Times New Roman" w:cs="Times New Roman"/>
          <w:spacing w:val="-4"/>
          <w:sz w:val="24"/>
          <w:szCs w:val="24"/>
          <w:lang w:val="en-GB" w:eastAsia="ja-JP"/>
        </w:rPr>
        <w:fldChar w:fldCharType="end"/>
      </w:r>
      <w:r w:rsidR="00E24743">
        <w:rPr>
          <w:rFonts w:ascii="Times New Roman" w:eastAsia="MS Mincho" w:hAnsi="Times New Roman" w:cs="Times New Roman"/>
          <w:spacing w:val="-4"/>
          <w:sz w:val="24"/>
          <w:szCs w:val="24"/>
          <w:lang w:val="en-GB" w:eastAsia="ja-JP"/>
        </w:rPr>
        <w:fldChar w:fldCharType="begin" w:fldLock="1"/>
      </w:r>
      <w:r w:rsidR="00E24743">
        <w:rPr>
          <w:rFonts w:ascii="Times New Roman" w:eastAsia="MS Mincho" w:hAnsi="Times New Roman" w:cs="Times New Roman"/>
          <w:spacing w:val="-4"/>
          <w:sz w:val="24"/>
          <w:szCs w:val="24"/>
          <w:lang w:val="en-GB" w:eastAsia="ja-JP"/>
        </w:rPr>
        <w:instrText>ADDIN CSL_CITATION { "citationItems" : [ { "id" : "ITEM-1", "itemData" : { "DOI" : "10.1056/NEJMoa1505654", "ISBN" : "1203677669", "ISSN" : "0028-4793", "PMID" : "26035255", "abstract" : "BackgroundElotuzumab, an immunostimulatory monoclonal antibody targeting signaling lymphocytic activation molecule F7 (SLAMF7), showed activity in combination with lenalidomide and dexamethasone in a phase 1b\u20132 study in patients with relapsed or refractory multiple myeloma. MethodsIn this phase 3 study, we randomly assigned patients to receive either elotuzumab plus lenalidomide and dexamethasone (elotuzumab group) or lenalidomide and dexamethasone alone (control group). Coprimary end points were progression-free survival and the overall response rate. Final results for the coprimary end points are reported on the basis of a planned interim analysis of progression-free survival. ResultsOverall, 321 patients were assigned to the elotuzumab group and 325 to the control group. After a median follow-up of 24.5 months, the rate of progression-free survival at 1 year in the elotuzumab group was 68%, as compared with 57% in the control group; at 2 years, the rates were 41% and 27%, respectively. Median progressi...", "author" : [ { "dropping-particle" : "", "family" : "Lonial", "given" : "Sagar", "non-dropping-particle" : "", "parse-names" : false, "suffix" : "" }, { "dropping-particle" : "", "family" : "Dimopoulos", "given" : "Meletios", "non-dropping-particle" : "", "parse-names" : false, "suffix" : "" }, { "dropping-particle" : "", "family" : "Palumbo", "given" : "Antonio", "non-dropping-particle" : "", "parse-names" : false, "suffix" : "" }, { "dropping-particle" : "", "family" : "White", "given" : "Darrell", "non-dropping-particle" : "", "parse-names" : false, "suffix" : "" }, { "dropping-particle" : "", "family" : "Grosicki", "given" : "Sebastian", "non-dropping-particle" : "", "parse-names" : false, "suffix" : "" }, { "dropping-particle" : "", "family" : "Spicka", "given" : "Ivan", "non-dropping-particle" : "", "parse-names" : false, "suffix" : "" }, { "dropping-particle" : "", "family" : "Walter-Croneck", "given" : "Adam", "non-dropping-particle" : "", "parse-names" : false, "suffix" : "" }, { "dropping-particle" : "", "family" : "Moreau", "given" : "Philippe", "non-dropping-particle" : "", "parse-names" : false, "suffix" : "" }, { "dropping-particle" : "", "family" : "Mateos", "given" : "Maria-Victoria", "non-dropping-particle" : "", "parse-names" : false, "suffix" : "" }, { "dropping-particle" : "", "family" : "Magen", "given" : "Hila", "non-dropping-particle" : "", "parse-names" : false, "suffix" : "" }, { "dropping-particle" : "", "family" : "Belch", "given" : "Andrew", "non-dropping-particle" : "", "parse-names" : false, "suffix" : "" }, { "dropping-particle" : "", "family" : "Reece", "given" : "Donna", "non-dropping-particle" : "", "parse-names" : false, "suffix" : "" }, { "dropping-particle" : "", "family" : "Beksac", "given" : "Meral", "non-dropping-particle" : "", "parse-names" : false, "suffix" : "" }, { "dropping-particle" : "", "family" : "Spencer", "given" : "Andrew", "non-dropping-particle" : "", "parse-names" : false, "suffix" : "" }, { "dropping-particle" : "", "family" : "Oakervee", "given" : "Heather", "non-dropping-particle" : "", "parse-names" : false, "suffix" : "" }, { "dropping-particle" : "", "family" : "Orlowski", "given" : "Robert Z.", "non-dropping-particle" : "", "parse-names" : false, "suffix" : "" }, { "dropping-particle" : "", "family" : "Taniwaki", "given" : "Masafumi", "non-dropping-particle" : "", "parse-names" : false, "suffix" : "" }, { "dropping-particle" : "", "family" : "R\u00f6llig", "given" : "Christoph", "non-dropping-particle" : "", "parse-names" : false, "suffix" : "" }, { "dropping-particle" : "", "family" : "Einsele", "given" : "Hermann", "non-dropping-particle" : "", "parse-names" : false, "suffix" : "" }, { "dropping-particle" : "", "family" : "Wu", "given" : "Ka Lung", "non-dropping-particle" : "", "parse-names" : false, "suffix" : "" }, { "dropping-particle" : "", "family" : "Singhal", "given" : "Anil", "non-dropping-particle" : "", "parse-names" : false, "suffix" : "" }, { "dropping-particle" : "", "family" : "San-Miguel", "given" : "Jesus", "non-dropping-particle" : "", "parse-names" : false, "suffix" : "" }, { "dropping-particle" : "", "family" : "Matsumoto", "given" : "Morio", "non-dropping-particle" : "", "parse-names" : false, "suffix" : "" }, { "dropping-particle" : "", "family" : "Katz", "given" : "Jessica", "non-dropping-particle" : "", "parse-names" : false, "suffix" : "" }, { "dropping-particle" : "", "family" : "Bleickardt", "given" : "Eric", "non-dropping-particle" : "", "parse-names" : false, "suffix" : "" }, { "dropping-particle" : "", "family" : "Poulart", "given" : "Valerie", "non-dropping-particle" : "", "parse-names" : false, "suffix" : "" }, { "dropping-particle" : "", "family" : "Anderson", "given" : "Kenneth C.", "non-dropping-particle" : "", "parse-names" : false, "suffix" : "" }, { "dropping-particle" : "", "family" : "Richardson", "given" : "Paul", "non-dropping-particle" : "", "parse-names" : false, "suffix" : "" } ], "container-title" : "New England Journal of Medicine", "id" : "ITEM-1", "issue" : "7", "issued" : { "date-parts" : [ [ "2015" ] ] }, "title" : "Elotuzumab Therapy for Relapsed or Refractory Multiple Myeloma", "type" : "article-journal", "volume" : "373" }, "uris" : [ "http://www.mendeley.com/documents/?uuid=ee2ba68b-4696-3d22-8a2e-ad77230235a2" ] } ], "mendeley" : { "formattedCitation" : "[5]", "plainTextFormattedCitation" : "[5]" }, "properties" : { "noteIndex" : 0 }, "schema" : "https://github.com/citation-style-language/schema/raw/master/csl-citation.json" }</w:instrText>
      </w:r>
      <w:r w:rsidR="00E24743">
        <w:rPr>
          <w:rFonts w:ascii="Times New Roman" w:eastAsia="MS Mincho" w:hAnsi="Times New Roman" w:cs="Times New Roman"/>
          <w:spacing w:val="-4"/>
          <w:sz w:val="24"/>
          <w:szCs w:val="24"/>
          <w:lang w:val="en-GB" w:eastAsia="ja-JP"/>
        </w:rPr>
        <w:fldChar w:fldCharType="separate"/>
      </w:r>
      <w:r w:rsidR="00E24743" w:rsidRPr="00E24743">
        <w:rPr>
          <w:rFonts w:ascii="Times New Roman" w:eastAsia="MS Mincho" w:hAnsi="Times New Roman" w:cs="Times New Roman"/>
          <w:noProof/>
          <w:spacing w:val="-4"/>
          <w:sz w:val="24"/>
          <w:szCs w:val="24"/>
          <w:lang w:val="en-GB" w:eastAsia="ja-JP"/>
        </w:rPr>
        <w:t>[5]</w:t>
      </w:r>
      <w:r w:rsidR="00E24743">
        <w:rPr>
          <w:rFonts w:ascii="Times New Roman" w:eastAsia="MS Mincho" w:hAnsi="Times New Roman" w:cs="Times New Roman"/>
          <w:spacing w:val="-4"/>
          <w:sz w:val="24"/>
          <w:szCs w:val="24"/>
          <w:lang w:val="en-GB" w:eastAsia="ja-JP"/>
        </w:rPr>
        <w:fldChar w:fldCharType="end"/>
      </w:r>
      <w:bookmarkStart w:id="0" w:name="_GoBack"/>
      <w:bookmarkEnd w:id="0"/>
    </w:p>
    <w:p w:rsidR="00BD3747" w:rsidRPr="00641E89" w:rsidRDefault="00641E89" w:rsidP="00641E89">
      <w:pPr>
        <w:widowControl/>
        <w:jc w:val="both"/>
        <w:rPr>
          <w:rFonts w:ascii="Times New Roman" w:eastAsia="MS Mincho" w:hAnsi="Times New Roman" w:cs="Times New Roman"/>
          <w:spacing w:val="-4"/>
          <w:sz w:val="24"/>
          <w:szCs w:val="24"/>
          <w:lang w:val="en-GB" w:eastAsia="ja-JP"/>
        </w:rPr>
      </w:pPr>
      <w:r w:rsidRPr="00641E89">
        <w:rPr>
          <w:rFonts w:ascii="Times New Roman" w:eastAsia="MS Mincho" w:hAnsi="Times New Roman" w:cs="Times New Roman"/>
          <w:spacing w:val="-4"/>
          <w:sz w:val="24"/>
          <w:szCs w:val="24"/>
          <w:lang w:val="en-GB" w:eastAsia="ja-JP"/>
        </w:rPr>
        <w:t xml:space="preserve">In a pilot study with 31 patients with MM and transfusion-dependent anaemia, we evaluated the effects of </w:t>
      </w:r>
      <w:proofErr w:type="spellStart"/>
      <w:r w:rsidRPr="00641E89">
        <w:rPr>
          <w:rFonts w:ascii="Times New Roman" w:eastAsia="MS Mincho" w:hAnsi="Times New Roman" w:cs="Times New Roman"/>
          <w:spacing w:val="-4"/>
          <w:sz w:val="24"/>
          <w:szCs w:val="24"/>
          <w:lang w:val="en-GB" w:eastAsia="ja-JP"/>
        </w:rPr>
        <w:t>Binocrit</w:t>
      </w:r>
      <w:proofErr w:type="spellEnd"/>
      <w:r w:rsidRPr="00641E89">
        <w:rPr>
          <w:rFonts w:ascii="Times New Roman" w:eastAsia="MS Mincho" w:hAnsi="Times New Roman" w:cs="Times New Roman"/>
          <w:spacing w:val="-4"/>
          <w:sz w:val="24"/>
          <w:szCs w:val="24"/>
          <w:lang w:val="en-GB" w:eastAsia="ja-JP"/>
        </w:rPr>
        <w:t xml:space="preserve"> (biosimilar epoetin alfa) on transfusions, haemoglobin levels, mental status (MMSE), and patients’ social-relational functioning and quality of life (</w:t>
      </w:r>
      <w:proofErr w:type="spellStart"/>
      <w:r w:rsidRPr="00641E89">
        <w:rPr>
          <w:rFonts w:ascii="Times New Roman" w:eastAsia="MS Mincho" w:hAnsi="Times New Roman" w:cs="Times New Roman"/>
          <w:spacing w:val="-4"/>
          <w:sz w:val="24"/>
          <w:szCs w:val="24"/>
          <w:lang w:val="en-GB" w:eastAsia="ja-JP"/>
        </w:rPr>
        <w:t>QoL</w:t>
      </w:r>
      <w:proofErr w:type="spellEnd"/>
      <w:r w:rsidRPr="00641E89">
        <w:rPr>
          <w:rFonts w:ascii="Times New Roman" w:eastAsia="MS Mincho" w:hAnsi="Times New Roman" w:cs="Times New Roman"/>
          <w:spacing w:val="-4"/>
          <w:sz w:val="24"/>
          <w:szCs w:val="24"/>
          <w:lang w:val="en-GB" w:eastAsia="ja-JP"/>
        </w:rPr>
        <w:t xml:space="preserve">). Within a 12-weeks interval, patients received 40.000 U </w:t>
      </w:r>
      <w:proofErr w:type="spellStart"/>
      <w:r w:rsidRPr="00641E89">
        <w:rPr>
          <w:rFonts w:ascii="Times New Roman" w:eastAsia="MS Mincho" w:hAnsi="Times New Roman" w:cs="Times New Roman"/>
          <w:spacing w:val="-4"/>
          <w:sz w:val="24"/>
          <w:szCs w:val="24"/>
          <w:lang w:val="en-GB" w:eastAsia="ja-JP"/>
        </w:rPr>
        <w:t>Binocrit</w:t>
      </w:r>
      <w:proofErr w:type="spellEnd"/>
      <w:r w:rsidRPr="00641E89">
        <w:rPr>
          <w:rFonts w:ascii="Times New Roman" w:eastAsia="MS Mincho" w:hAnsi="Times New Roman" w:cs="Times New Roman"/>
          <w:spacing w:val="-4"/>
          <w:sz w:val="24"/>
          <w:szCs w:val="24"/>
          <w:lang w:val="en-GB" w:eastAsia="ja-JP"/>
        </w:rPr>
        <w:t xml:space="preserve"> once a week. </w:t>
      </w:r>
      <w:proofErr w:type="spellStart"/>
      <w:r w:rsidRPr="00641E89">
        <w:rPr>
          <w:rFonts w:ascii="Times New Roman" w:eastAsia="MS Mincho" w:hAnsi="Times New Roman" w:cs="Times New Roman"/>
          <w:spacing w:val="-4"/>
          <w:sz w:val="24"/>
          <w:szCs w:val="24"/>
          <w:lang w:val="en-GB" w:eastAsia="ja-JP"/>
        </w:rPr>
        <w:t>Binocrit</w:t>
      </w:r>
      <w:proofErr w:type="spellEnd"/>
      <w:r w:rsidRPr="00641E89">
        <w:rPr>
          <w:rFonts w:ascii="Times New Roman" w:eastAsia="MS Mincho" w:hAnsi="Times New Roman" w:cs="Times New Roman"/>
          <w:spacing w:val="-4"/>
          <w:sz w:val="24"/>
          <w:szCs w:val="24"/>
          <w:lang w:val="en-GB" w:eastAsia="ja-JP"/>
        </w:rPr>
        <w:t xml:space="preserve"> significantly decreased the incidence of transfusion regardless of patients’ transfusion history, and significantly increased haemoglobin levels (before-and-after-treatment median haemoglobin values = 8.20 g/dl vs. 9.40 g/dl, respectively; Wilcoxon’s Z-Test, </w:t>
      </w:r>
      <w:r w:rsidRPr="00641E89">
        <w:rPr>
          <w:rFonts w:ascii="Times New Roman" w:eastAsia="MS Mincho" w:hAnsi="Times New Roman" w:cs="Times New Roman"/>
          <w:i/>
          <w:iCs/>
          <w:spacing w:val="-4"/>
          <w:sz w:val="24"/>
          <w:szCs w:val="24"/>
          <w:lang w:val="en-GB" w:eastAsia="ja-JP"/>
        </w:rPr>
        <w:t>p</w:t>
      </w:r>
      <w:r w:rsidRPr="00641E89">
        <w:rPr>
          <w:rFonts w:ascii="Times New Roman" w:eastAsia="MS Mincho" w:hAnsi="Times New Roman" w:cs="Times New Roman"/>
          <w:spacing w:val="-4"/>
          <w:sz w:val="24"/>
          <w:szCs w:val="24"/>
          <w:lang w:val="en-GB" w:eastAsia="ja-JP"/>
        </w:rPr>
        <w:t xml:space="preserve">&lt;.001). </w:t>
      </w:r>
      <w:r w:rsidRPr="00641E89">
        <w:rPr>
          <w:rFonts w:ascii="Times New Roman" w:eastAsia="MS Mincho" w:hAnsi="Times New Roman" w:cs="Times New Roman"/>
          <w:spacing w:val="-4"/>
          <w:sz w:val="24"/>
          <w:szCs w:val="24"/>
          <w:lang w:eastAsia="ja-JP"/>
        </w:rPr>
        <w:t xml:space="preserve">A comparatively greater increment in </w:t>
      </w:r>
      <w:proofErr w:type="spellStart"/>
      <w:r w:rsidRPr="00641E89">
        <w:rPr>
          <w:rFonts w:ascii="Times New Roman" w:eastAsia="MS Mincho" w:hAnsi="Times New Roman" w:cs="Times New Roman"/>
          <w:spacing w:val="-4"/>
          <w:sz w:val="24"/>
          <w:szCs w:val="24"/>
          <w:lang w:eastAsia="ja-JP"/>
        </w:rPr>
        <w:t>haemoglobin</w:t>
      </w:r>
      <w:proofErr w:type="spellEnd"/>
      <w:r w:rsidRPr="00641E89">
        <w:rPr>
          <w:rFonts w:ascii="Times New Roman" w:eastAsia="MS Mincho" w:hAnsi="Times New Roman" w:cs="Times New Roman"/>
          <w:spacing w:val="-4"/>
          <w:sz w:val="24"/>
          <w:szCs w:val="24"/>
          <w:lang w:eastAsia="ja-JP"/>
        </w:rPr>
        <w:t xml:space="preserve"> levels among patients who responded to first vs. additional lines of chemotherapy </w:t>
      </w:r>
      <w:proofErr w:type="gramStart"/>
      <w:r w:rsidRPr="00641E89">
        <w:rPr>
          <w:rFonts w:ascii="Times New Roman" w:eastAsia="MS Mincho" w:hAnsi="Times New Roman" w:cs="Times New Roman"/>
          <w:spacing w:val="-4"/>
          <w:sz w:val="24"/>
          <w:szCs w:val="24"/>
          <w:lang w:eastAsia="ja-JP"/>
        </w:rPr>
        <w:t>was also observed</w:t>
      </w:r>
      <w:proofErr w:type="gramEnd"/>
      <w:r w:rsidRPr="00641E89">
        <w:rPr>
          <w:rFonts w:ascii="Times New Roman" w:eastAsia="MS Mincho" w:hAnsi="Times New Roman" w:cs="Times New Roman"/>
          <w:spacing w:val="-4"/>
          <w:sz w:val="24"/>
          <w:szCs w:val="24"/>
          <w:lang w:eastAsia="ja-JP"/>
        </w:rPr>
        <w:t xml:space="preserve">. </w:t>
      </w:r>
      <w:r w:rsidRPr="00641E89">
        <w:rPr>
          <w:rFonts w:ascii="Times New Roman" w:eastAsia="MS Mincho" w:hAnsi="Times New Roman" w:cs="Times New Roman"/>
          <w:spacing w:val="-4"/>
          <w:sz w:val="24"/>
          <w:szCs w:val="24"/>
          <w:lang w:val="en-GB" w:eastAsia="ja-JP"/>
        </w:rPr>
        <w:t>Importantly, we additionally found moderate-to-strong positive associations between increments in haemoglobin levels and increments both in psychological well-being and quality of life (</w:t>
      </w:r>
      <w:proofErr w:type="spellStart"/>
      <w:r w:rsidRPr="00641E89">
        <w:rPr>
          <w:rFonts w:ascii="Times New Roman" w:eastAsia="MS Mincho" w:hAnsi="Times New Roman" w:cs="Times New Roman"/>
          <w:spacing w:val="-4"/>
          <w:sz w:val="24"/>
          <w:szCs w:val="24"/>
          <w:lang w:val="en-GB" w:eastAsia="ja-JP"/>
        </w:rPr>
        <w:t>QoL</w:t>
      </w:r>
      <w:proofErr w:type="spellEnd"/>
      <w:r w:rsidRPr="00641E89">
        <w:rPr>
          <w:rFonts w:ascii="Times New Roman" w:eastAsia="MS Mincho" w:hAnsi="Times New Roman" w:cs="Times New Roman"/>
          <w:spacing w:val="-4"/>
          <w:sz w:val="24"/>
          <w:szCs w:val="24"/>
          <w:lang w:val="en-GB" w:eastAsia="ja-JP"/>
        </w:rPr>
        <w:t>) (FACT-</w:t>
      </w:r>
      <w:proofErr w:type="gramStart"/>
      <w:r w:rsidRPr="00641E89">
        <w:rPr>
          <w:rFonts w:ascii="Times New Roman" w:eastAsia="MS Mincho" w:hAnsi="Times New Roman" w:cs="Times New Roman"/>
          <w:spacing w:val="-4"/>
          <w:sz w:val="24"/>
          <w:szCs w:val="24"/>
          <w:lang w:val="en-GB" w:eastAsia="ja-JP"/>
        </w:rPr>
        <w:t>An</w:t>
      </w:r>
      <w:proofErr w:type="gramEnd"/>
      <w:r w:rsidRPr="00641E89">
        <w:rPr>
          <w:rFonts w:ascii="Times New Roman" w:eastAsia="MS Mincho" w:hAnsi="Times New Roman" w:cs="Times New Roman"/>
          <w:spacing w:val="-4"/>
          <w:sz w:val="24"/>
          <w:szCs w:val="24"/>
          <w:lang w:val="en-GB" w:eastAsia="ja-JP"/>
        </w:rPr>
        <w:t xml:space="preserve"> scores), and patients’ cognitive status (MMSE scores). After statistically controlling for possible concurrent benefits of anti-</w:t>
      </w:r>
      <w:r w:rsidRPr="00641E89">
        <w:rPr>
          <w:rFonts w:ascii="Times New Roman" w:eastAsia="MS Mincho" w:hAnsi="Times New Roman" w:cs="Times New Roman"/>
          <w:spacing w:val="-4"/>
          <w:sz w:val="24"/>
          <w:szCs w:val="24"/>
          <w:lang w:val="en-GB" w:eastAsia="ja-JP"/>
        </w:rPr>
        <w:t>myeloma therapy, increments in haemoglobin levels clearly predicted both increments in socio-relational FACT-</w:t>
      </w:r>
      <w:proofErr w:type="gramStart"/>
      <w:r w:rsidRPr="00641E89">
        <w:rPr>
          <w:rFonts w:ascii="Times New Roman" w:eastAsia="MS Mincho" w:hAnsi="Times New Roman" w:cs="Times New Roman"/>
          <w:spacing w:val="-4"/>
          <w:sz w:val="24"/>
          <w:szCs w:val="24"/>
          <w:lang w:val="en-GB" w:eastAsia="ja-JP"/>
        </w:rPr>
        <w:t>An</w:t>
      </w:r>
      <w:proofErr w:type="gramEnd"/>
      <w:r w:rsidRPr="00641E89">
        <w:rPr>
          <w:rFonts w:ascii="Times New Roman" w:eastAsia="MS Mincho" w:hAnsi="Times New Roman" w:cs="Times New Roman"/>
          <w:spacing w:val="-4"/>
          <w:sz w:val="24"/>
          <w:szCs w:val="24"/>
          <w:lang w:val="en-GB" w:eastAsia="ja-JP"/>
        </w:rPr>
        <w:t xml:space="preserve"> scores (Spearman’s </w:t>
      </w:r>
      <w:r w:rsidRPr="00641E89">
        <w:rPr>
          <w:rFonts w:ascii="Times New Roman" w:eastAsia="MS Mincho" w:hAnsi="Times New Roman" w:cs="Times New Roman"/>
          <w:i/>
          <w:iCs/>
          <w:spacing w:val="-4"/>
          <w:sz w:val="24"/>
          <w:szCs w:val="24"/>
          <w:lang w:val="en-GB" w:eastAsia="ja-JP"/>
        </w:rPr>
        <w:t xml:space="preserve">Rho </w:t>
      </w:r>
      <w:r w:rsidRPr="00641E89">
        <w:rPr>
          <w:rFonts w:ascii="Times New Roman" w:eastAsia="MS Mincho" w:hAnsi="Times New Roman" w:cs="Times New Roman"/>
          <w:spacing w:val="-4"/>
          <w:sz w:val="24"/>
          <w:szCs w:val="24"/>
          <w:lang w:val="en-GB" w:eastAsia="ja-JP"/>
        </w:rPr>
        <w:t xml:space="preserve">=.60, </w:t>
      </w:r>
      <w:r w:rsidRPr="00641E89">
        <w:rPr>
          <w:rFonts w:ascii="Times New Roman" w:eastAsia="MS Mincho" w:hAnsi="Times New Roman" w:cs="Times New Roman"/>
          <w:i/>
          <w:iCs/>
          <w:spacing w:val="-4"/>
          <w:sz w:val="24"/>
          <w:szCs w:val="24"/>
          <w:lang w:val="en-GB" w:eastAsia="ja-JP"/>
        </w:rPr>
        <w:t>p</w:t>
      </w:r>
      <w:r w:rsidRPr="00641E89">
        <w:rPr>
          <w:rFonts w:ascii="Times New Roman" w:eastAsia="MS Mincho" w:hAnsi="Times New Roman" w:cs="Times New Roman"/>
          <w:spacing w:val="-4"/>
          <w:sz w:val="24"/>
          <w:szCs w:val="24"/>
          <w:lang w:val="en-GB" w:eastAsia="ja-JP"/>
        </w:rPr>
        <w:t xml:space="preserve">&lt;.001), and in cognitive functioning scores (Spearman’s </w:t>
      </w:r>
      <w:r w:rsidRPr="00641E89">
        <w:rPr>
          <w:rFonts w:ascii="Times New Roman" w:eastAsia="MS Mincho" w:hAnsi="Times New Roman" w:cs="Times New Roman"/>
          <w:i/>
          <w:iCs/>
          <w:spacing w:val="-4"/>
          <w:sz w:val="24"/>
          <w:szCs w:val="24"/>
          <w:lang w:val="en-GB" w:eastAsia="ja-JP"/>
        </w:rPr>
        <w:t xml:space="preserve">Rho </w:t>
      </w:r>
      <w:r w:rsidRPr="00641E89">
        <w:rPr>
          <w:rFonts w:ascii="Times New Roman" w:eastAsia="MS Mincho" w:hAnsi="Times New Roman" w:cs="Times New Roman"/>
          <w:spacing w:val="-4"/>
          <w:sz w:val="24"/>
          <w:szCs w:val="24"/>
          <w:lang w:val="en-GB" w:eastAsia="ja-JP"/>
        </w:rPr>
        <w:t xml:space="preserve">=.49, </w:t>
      </w:r>
      <w:r w:rsidRPr="00641E89">
        <w:rPr>
          <w:rFonts w:ascii="Times New Roman" w:eastAsia="MS Mincho" w:hAnsi="Times New Roman" w:cs="Times New Roman"/>
          <w:i/>
          <w:iCs/>
          <w:spacing w:val="-4"/>
          <w:sz w:val="24"/>
          <w:szCs w:val="24"/>
          <w:lang w:val="en-GB" w:eastAsia="ja-JP"/>
        </w:rPr>
        <w:t>p</w:t>
      </w:r>
      <w:r w:rsidRPr="00641E89">
        <w:rPr>
          <w:rFonts w:ascii="Times New Roman" w:eastAsia="MS Mincho" w:hAnsi="Times New Roman" w:cs="Times New Roman"/>
          <w:spacing w:val="-4"/>
          <w:sz w:val="24"/>
          <w:szCs w:val="24"/>
          <w:lang w:val="en-GB" w:eastAsia="ja-JP"/>
        </w:rPr>
        <w:t xml:space="preserve">&lt;.006). </w:t>
      </w:r>
      <w:proofErr w:type="spellStart"/>
      <w:r w:rsidRPr="00641E89">
        <w:rPr>
          <w:rFonts w:ascii="Times New Roman" w:eastAsia="MS Mincho" w:hAnsi="Times New Roman" w:cs="Times New Roman"/>
          <w:spacing w:val="-4"/>
          <w:sz w:val="24"/>
          <w:szCs w:val="24"/>
          <w:lang w:val="en-GB" w:eastAsia="ja-JP"/>
        </w:rPr>
        <w:t>Binocrit</w:t>
      </w:r>
      <w:proofErr w:type="spellEnd"/>
      <w:r w:rsidRPr="00641E89">
        <w:rPr>
          <w:rFonts w:ascii="Times New Roman" w:eastAsia="MS Mincho" w:hAnsi="Times New Roman" w:cs="Times New Roman"/>
          <w:spacing w:val="-4"/>
          <w:sz w:val="24"/>
          <w:szCs w:val="24"/>
          <w:lang w:val="en-GB" w:eastAsia="ja-JP"/>
        </w:rPr>
        <w:t xml:space="preserve"> thus appears as an effective, well-tolerated agent for the management of myeloma anaemia, whose documented benefits include amelioration of anaemia, reduction in transfusion, and improvements in patients’ social-relational functioning and cognitive well-being.</w:t>
      </w:r>
    </w:p>
    <w:p w:rsidR="00AE3E37" w:rsidRDefault="00AE3E37">
      <w:pPr>
        <w:pStyle w:val="Corpotesto"/>
        <w:spacing w:before="2"/>
        <w:rPr>
          <w:rFonts w:ascii="Arial"/>
          <w:b/>
          <w:sz w:val="16"/>
        </w:rPr>
      </w:pPr>
    </w:p>
    <w:p w:rsidR="00BA1D51" w:rsidRDefault="005973B9" w:rsidP="00BA1D51">
      <w:pPr>
        <w:spacing w:line="204" w:lineRule="exact"/>
        <w:rPr>
          <w:rFonts w:ascii="Arial"/>
          <w:b/>
          <w:color w:val="BF5A14"/>
          <w:sz w:val="20"/>
        </w:rPr>
      </w:pPr>
      <w:r>
        <w:rPr>
          <w:rFonts w:ascii="Arial"/>
          <w:b/>
          <w:color w:val="BF5A14"/>
          <w:sz w:val="20"/>
        </w:rPr>
        <w:br/>
        <w:t xml:space="preserve">Recent Publications </w:t>
      </w:r>
    </w:p>
    <w:p w:rsidR="00BA1D51" w:rsidRDefault="00BA1D51" w:rsidP="00BA1D51">
      <w:pPr>
        <w:spacing w:line="204" w:lineRule="exact"/>
        <w:rPr>
          <w:rFonts w:ascii="Arial"/>
          <w:b/>
          <w:color w:val="BF5A14"/>
          <w:sz w:val="20"/>
        </w:rPr>
      </w:pPr>
    </w:p>
    <w:p w:rsidR="00E24743" w:rsidRPr="00E24743" w:rsidRDefault="008756E6" w:rsidP="00E24743">
      <w:pPr>
        <w:autoSpaceDE w:val="0"/>
        <w:autoSpaceDN w:val="0"/>
        <w:adjustRightInd w:val="0"/>
        <w:spacing w:line="240" w:lineRule="exact"/>
        <w:ind w:left="640" w:hanging="640"/>
        <w:rPr>
          <w:rFonts w:ascii="Calibri" w:hAnsi="Calibri" w:cs="Calibri"/>
          <w:noProof/>
          <w:szCs w:val="24"/>
        </w:rPr>
      </w:pPr>
      <w:r>
        <w:rPr>
          <w:rFonts w:ascii="Calibri" w:hAnsi="Calibri"/>
        </w:rPr>
        <w:t xml:space="preserve">   </w:t>
      </w:r>
      <w:r w:rsidR="00C50BD5">
        <w:rPr>
          <w:rFonts w:ascii="Calibri" w:hAnsi="Calibri"/>
        </w:rPr>
        <w:fldChar w:fldCharType="begin" w:fldLock="1"/>
      </w:r>
      <w:r w:rsidR="00C50BD5">
        <w:rPr>
          <w:rFonts w:ascii="Calibri" w:hAnsi="Calibri"/>
        </w:rPr>
        <w:instrText xml:space="preserve">ADDIN Mendeley Bibliography CSL_BIBLIOGRAPHY </w:instrText>
      </w:r>
      <w:r w:rsidR="00C50BD5">
        <w:rPr>
          <w:rFonts w:ascii="Calibri" w:hAnsi="Calibri"/>
        </w:rPr>
        <w:fldChar w:fldCharType="separate"/>
      </w:r>
      <w:r w:rsidR="00E24743" w:rsidRPr="00E24743">
        <w:rPr>
          <w:rFonts w:ascii="Calibri" w:hAnsi="Calibri" w:cs="Calibri"/>
          <w:noProof/>
          <w:szCs w:val="24"/>
        </w:rPr>
        <w:t>[1]</w:t>
      </w:r>
      <w:r w:rsidR="00E24743" w:rsidRPr="00E24743">
        <w:rPr>
          <w:rFonts w:ascii="Calibri" w:hAnsi="Calibri" w:cs="Calibri"/>
          <w:noProof/>
          <w:szCs w:val="24"/>
        </w:rPr>
        <w:tab/>
        <w:t xml:space="preserve">R. A. Kyle and S. V. Rajkumar, “Multiple myeloma.,” </w:t>
      </w:r>
      <w:r w:rsidR="00E24743" w:rsidRPr="00E24743">
        <w:rPr>
          <w:rFonts w:ascii="Calibri" w:hAnsi="Calibri" w:cs="Calibri"/>
          <w:i/>
          <w:iCs/>
          <w:noProof/>
          <w:szCs w:val="24"/>
        </w:rPr>
        <w:t>N. Engl. J. Med.</w:t>
      </w:r>
      <w:r w:rsidR="00E24743" w:rsidRPr="00E24743">
        <w:rPr>
          <w:rFonts w:ascii="Calibri" w:hAnsi="Calibri" w:cs="Calibri"/>
          <w:noProof/>
          <w:szCs w:val="24"/>
        </w:rPr>
        <w:t>, vol. 351, no. 18, pp. 1860–73, 2004.</w:t>
      </w:r>
    </w:p>
    <w:p w:rsidR="00E24743" w:rsidRPr="00E24743" w:rsidRDefault="00E24743" w:rsidP="00E24743">
      <w:pPr>
        <w:autoSpaceDE w:val="0"/>
        <w:autoSpaceDN w:val="0"/>
        <w:adjustRightInd w:val="0"/>
        <w:spacing w:line="240" w:lineRule="exact"/>
        <w:ind w:left="640" w:hanging="640"/>
        <w:rPr>
          <w:rFonts w:ascii="Calibri" w:hAnsi="Calibri" w:cs="Calibri"/>
          <w:noProof/>
          <w:szCs w:val="24"/>
        </w:rPr>
      </w:pPr>
      <w:r w:rsidRPr="00E24743">
        <w:rPr>
          <w:rFonts w:ascii="Calibri" w:hAnsi="Calibri" w:cs="Calibri"/>
          <w:noProof/>
          <w:szCs w:val="24"/>
        </w:rPr>
        <w:t>[2]</w:t>
      </w:r>
      <w:r w:rsidRPr="00E24743">
        <w:rPr>
          <w:rFonts w:ascii="Calibri" w:hAnsi="Calibri" w:cs="Calibri"/>
          <w:noProof/>
          <w:szCs w:val="24"/>
        </w:rPr>
        <w:tab/>
        <w:t xml:space="preserve">H. Ludwig, G. Pohl, and A. Osterborg, “Anemia in multiple myeloma.,” </w:t>
      </w:r>
      <w:r w:rsidRPr="00E24743">
        <w:rPr>
          <w:rFonts w:ascii="Calibri" w:hAnsi="Calibri" w:cs="Calibri"/>
          <w:i/>
          <w:iCs/>
          <w:noProof/>
          <w:szCs w:val="24"/>
        </w:rPr>
        <w:t>Clinical advances in hematology &amp; oncology : H&amp;O</w:t>
      </w:r>
      <w:r w:rsidRPr="00E24743">
        <w:rPr>
          <w:rFonts w:ascii="Calibri" w:hAnsi="Calibri" w:cs="Calibri"/>
          <w:noProof/>
          <w:szCs w:val="24"/>
        </w:rPr>
        <w:t>, vol. 2, no. 4. pp. 233–241, 2004.</w:t>
      </w:r>
    </w:p>
    <w:p w:rsidR="00E24743" w:rsidRPr="00E24743" w:rsidRDefault="00E24743" w:rsidP="00E24743">
      <w:pPr>
        <w:autoSpaceDE w:val="0"/>
        <w:autoSpaceDN w:val="0"/>
        <w:adjustRightInd w:val="0"/>
        <w:spacing w:line="240" w:lineRule="exact"/>
        <w:ind w:left="640" w:hanging="640"/>
        <w:rPr>
          <w:rFonts w:ascii="Calibri" w:hAnsi="Calibri" w:cs="Calibri"/>
          <w:noProof/>
          <w:szCs w:val="24"/>
        </w:rPr>
      </w:pPr>
      <w:r w:rsidRPr="00E24743">
        <w:rPr>
          <w:rFonts w:ascii="Calibri" w:hAnsi="Calibri" w:cs="Calibri"/>
          <w:noProof/>
          <w:szCs w:val="24"/>
        </w:rPr>
        <w:t>[3]</w:t>
      </w:r>
      <w:r w:rsidRPr="00E24743">
        <w:rPr>
          <w:rFonts w:ascii="Calibri" w:hAnsi="Calibri" w:cs="Calibri"/>
          <w:noProof/>
          <w:szCs w:val="24"/>
        </w:rPr>
        <w:tab/>
        <w:t xml:space="preserve">A. Palumbo </w:t>
      </w:r>
      <w:r w:rsidRPr="00E24743">
        <w:rPr>
          <w:rFonts w:ascii="Calibri" w:hAnsi="Calibri" w:cs="Calibri"/>
          <w:i/>
          <w:iCs/>
          <w:noProof/>
          <w:szCs w:val="24"/>
        </w:rPr>
        <w:t>et al.</w:t>
      </w:r>
      <w:r w:rsidRPr="00E24743">
        <w:rPr>
          <w:rFonts w:ascii="Calibri" w:hAnsi="Calibri" w:cs="Calibri"/>
          <w:noProof/>
          <w:szCs w:val="24"/>
        </w:rPr>
        <w:t xml:space="preserve">, “Personalized therapy in multiple myeloma according to patient age and vulnerability: a report of the European Myeloma Network (EMN).,” </w:t>
      </w:r>
      <w:r w:rsidRPr="00E24743">
        <w:rPr>
          <w:rFonts w:ascii="Calibri" w:hAnsi="Calibri" w:cs="Calibri"/>
          <w:i/>
          <w:iCs/>
          <w:noProof/>
          <w:szCs w:val="24"/>
        </w:rPr>
        <w:t>Blood</w:t>
      </w:r>
      <w:r w:rsidRPr="00E24743">
        <w:rPr>
          <w:rFonts w:ascii="Calibri" w:hAnsi="Calibri" w:cs="Calibri"/>
          <w:noProof/>
          <w:szCs w:val="24"/>
        </w:rPr>
        <w:t>, vol. 118, no. 17, pp. 4519–29, Oct. 2011.</w:t>
      </w:r>
    </w:p>
    <w:p w:rsidR="00E24743" w:rsidRPr="00E24743" w:rsidRDefault="00E24743" w:rsidP="00E24743">
      <w:pPr>
        <w:autoSpaceDE w:val="0"/>
        <w:autoSpaceDN w:val="0"/>
        <w:adjustRightInd w:val="0"/>
        <w:spacing w:line="240" w:lineRule="exact"/>
        <w:ind w:left="640" w:hanging="640"/>
        <w:rPr>
          <w:rFonts w:ascii="Calibri" w:hAnsi="Calibri" w:cs="Calibri"/>
          <w:noProof/>
          <w:szCs w:val="24"/>
        </w:rPr>
      </w:pPr>
      <w:r w:rsidRPr="00E24743">
        <w:rPr>
          <w:rFonts w:ascii="Calibri" w:hAnsi="Calibri" w:cs="Calibri"/>
          <w:noProof/>
          <w:szCs w:val="24"/>
        </w:rPr>
        <w:t>[4]</w:t>
      </w:r>
      <w:r w:rsidRPr="00E24743">
        <w:rPr>
          <w:rFonts w:ascii="Calibri" w:hAnsi="Calibri" w:cs="Calibri"/>
          <w:noProof/>
          <w:szCs w:val="24"/>
        </w:rPr>
        <w:tab/>
        <w:t xml:space="preserve">R. Castelli, R. Gualtierotti, N. Orofino, A. Losurdo, S. Gandolfi, and M. Cugno, “Current and emerging treatment options for patients with relapsed myeloma.,” </w:t>
      </w:r>
      <w:r w:rsidRPr="00E24743">
        <w:rPr>
          <w:rFonts w:ascii="Calibri" w:hAnsi="Calibri" w:cs="Calibri"/>
          <w:i/>
          <w:iCs/>
          <w:noProof/>
          <w:szCs w:val="24"/>
        </w:rPr>
        <w:t>Clin. Med. Insights. Oncol.</w:t>
      </w:r>
      <w:r w:rsidRPr="00E24743">
        <w:rPr>
          <w:rFonts w:ascii="Calibri" w:hAnsi="Calibri" w:cs="Calibri"/>
          <w:noProof/>
          <w:szCs w:val="24"/>
        </w:rPr>
        <w:t>, vol. 7, pp. 209–19, 2013.</w:t>
      </w:r>
    </w:p>
    <w:p w:rsidR="00E24743" w:rsidRPr="00E24743" w:rsidRDefault="00E24743" w:rsidP="00E24743">
      <w:pPr>
        <w:autoSpaceDE w:val="0"/>
        <w:autoSpaceDN w:val="0"/>
        <w:adjustRightInd w:val="0"/>
        <w:spacing w:line="240" w:lineRule="exact"/>
        <w:ind w:left="640" w:hanging="640"/>
        <w:rPr>
          <w:rFonts w:ascii="Calibri" w:hAnsi="Calibri" w:cs="Calibri"/>
          <w:noProof/>
        </w:rPr>
      </w:pPr>
      <w:r w:rsidRPr="00E24743">
        <w:rPr>
          <w:rFonts w:ascii="Calibri" w:hAnsi="Calibri" w:cs="Calibri"/>
          <w:noProof/>
          <w:szCs w:val="24"/>
        </w:rPr>
        <w:t>[5]</w:t>
      </w:r>
      <w:r w:rsidRPr="00E24743">
        <w:rPr>
          <w:rFonts w:ascii="Calibri" w:hAnsi="Calibri" w:cs="Calibri"/>
          <w:noProof/>
          <w:szCs w:val="24"/>
        </w:rPr>
        <w:tab/>
        <w:t xml:space="preserve">S. Lonial </w:t>
      </w:r>
      <w:r w:rsidRPr="00E24743">
        <w:rPr>
          <w:rFonts w:ascii="Calibri" w:hAnsi="Calibri" w:cs="Calibri"/>
          <w:i/>
          <w:iCs/>
          <w:noProof/>
          <w:szCs w:val="24"/>
        </w:rPr>
        <w:t>et al.</w:t>
      </w:r>
      <w:r w:rsidRPr="00E24743">
        <w:rPr>
          <w:rFonts w:ascii="Calibri" w:hAnsi="Calibri" w:cs="Calibri"/>
          <w:noProof/>
          <w:szCs w:val="24"/>
        </w:rPr>
        <w:t xml:space="preserve">, “Elotuzumab Therapy for Relapsed or Refractory Multiple Myeloma,” </w:t>
      </w:r>
      <w:r w:rsidRPr="00E24743">
        <w:rPr>
          <w:rFonts w:ascii="Calibri" w:hAnsi="Calibri" w:cs="Calibri"/>
          <w:i/>
          <w:iCs/>
          <w:noProof/>
          <w:szCs w:val="24"/>
        </w:rPr>
        <w:t>N. Engl. J. Med.</w:t>
      </w:r>
      <w:r w:rsidRPr="00E24743">
        <w:rPr>
          <w:rFonts w:ascii="Calibri" w:hAnsi="Calibri" w:cs="Calibri"/>
          <w:noProof/>
          <w:szCs w:val="24"/>
        </w:rPr>
        <w:t>, vol. 373, no. 7, 2015.</w:t>
      </w:r>
    </w:p>
    <w:p w:rsidR="00AE3E37" w:rsidRDefault="00C50BD5">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fldChar w:fldCharType="end"/>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596CE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Collegamentoipertestuale"/>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0" w:history="1">
        <w:r w:rsidRPr="00616076">
          <w:rPr>
            <w:rStyle w:val="Collegamentoipertestuale"/>
            <w:rFonts w:ascii="Arial"/>
            <w:sz w:val="14"/>
          </w:rPr>
          <w:t>drXXXXXXX@xxxmail.com</w:t>
        </w:r>
      </w:hyperlink>
    </w:p>
    <w:p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D525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D10CE8">
      <w:pPr>
        <w:pStyle w:val="Corpotesto"/>
        <w:rPr>
          <w:rFonts w:ascii="Arial"/>
          <w:sz w:val="20"/>
        </w:rPr>
      </w:pPr>
      <w:r w:rsidRPr="00D10CE8">
        <w:rPr>
          <w:rFonts w:ascii="Times New Roman" w:eastAsia="Times New Roman" w:hAnsi="Times New Roman" w:cs="Times New Roman"/>
          <w:sz w:val="24"/>
          <w:szCs w:val="24"/>
          <w:lang w:eastAsia="it-IT"/>
        </w:rPr>
        <w:t xml:space="preserve">Roberto Castelli, obtained degree in Medicine at University of Milan, and then specialization in Internal Medicine and Hematology at university of Milan. In </w:t>
      </w:r>
      <w:r w:rsidR="007A701A" w:rsidRPr="00D10CE8">
        <w:rPr>
          <w:rFonts w:ascii="Times New Roman" w:eastAsia="Times New Roman" w:hAnsi="Times New Roman" w:cs="Times New Roman"/>
          <w:sz w:val="24"/>
          <w:szCs w:val="24"/>
          <w:lang w:eastAsia="it-IT"/>
        </w:rPr>
        <w:t>addition,</w:t>
      </w:r>
      <w:r w:rsidRPr="00D10CE8">
        <w:rPr>
          <w:rFonts w:ascii="Times New Roman" w:eastAsia="Times New Roman" w:hAnsi="Times New Roman" w:cs="Times New Roman"/>
          <w:sz w:val="24"/>
          <w:szCs w:val="24"/>
          <w:lang w:eastAsia="it-IT"/>
        </w:rPr>
        <w:t xml:space="preserve"> he obtained PhD in Clinical Methodology at </w:t>
      </w:r>
      <w:r w:rsidRPr="00D10CE8">
        <w:rPr>
          <w:rFonts w:ascii="Times New Roman" w:eastAsia="Times New Roman" w:hAnsi="Times New Roman" w:cs="Times New Roman"/>
          <w:sz w:val="24"/>
          <w:szCs w:val="24"/>
          <w:lang w:eastAsia="it-IT"/>
        </w:rPr>
        <w:lastRenderedPageBreak/>
        <w:t xml:space="preserve">University of Milan. He worked as </w:t>
      </w:r>
      <w:proofErr w:type="spellStart"/>
      <w:r w:rsidRPr="00D10CE8">
        <w:rPr>
          <w:rFonts w:ascii="Times New Roman" w:eastAsia="Times New Roman" w:hAnsi="Times New Roman" w:cs="Times New Roman"/>
          <w:sz w:val="24"/>
          <w:szCs w:val="24"/>
          <w:lang w:eastAsia="it-IT"/>
        </w:rPr>
        <w:t>haematologist</w:t>
      </w:r>
      <w:proofErr w:type="spellEnd"/>
      <w:r w:rsidRPr="00D10CE8">
        <w:rPr>
          <w:rFonts w:ascii="Times New Roman" w:eastAsia="Times New Roman" w:hAnsi="Times New Roman" w:cs="Times New Roman"/>
          <w:sz w:val="24"/>
          <w:szCs w:val="24"/>
          <w:lang w:eastAsia="it-IT"/>
        </w:rPr>
        <w:t xml:space="preserve"> at </w:t>
      </w:r>
      <w:proofErr w:type="spellStart"/>
      <w:r w:rsidRPr="00D10CE8">
        <w:rPr>
          <w:rFonts w:ascii="Times New Roman" w:eastAsia="Times New Roman" w:hAnsi="Times New Roman" w:cs="Times New Roman"/>
          <w:sz w:val="24"/>
          <w:szCs w:val="24"/>
          <w:lang w:eastAsia="it-IT"/>
        </w:rPr>
        <w:t>Ospedale</w:t>
      </w:r>
      <w:proofErr w:type="spellEnd"/>
      <w:r w:rsidRPr="00D10CE8">
        <w:rPr>
          <w:rFonts w:ascii="Times New Roman" w:eastAsia="Times New Roman" w:hAnsi="Times New Roman" w:cs="Times New Roman"/>
          <w:sz w:val="24"/>
          <w:szCs w:val="24"/>
          <w:lang w:eastAsia="it-IT"/>
        </w:rPr>
        <w:t xml:space="preserve"> Maggiore di Milano University of Milan until 2015 at University Hospital Ospedale Luigi Sacco He is involved in malignant and </w:t>
      </w:r>
      <w:proofErr w:type="spellStart"/>
      <w:r w:rsidRPr="00D10CE8">
        <w:rPr>
          <w:rFonts w:ascii="Times New Roman" w:eastAsia="Times New Roman" w:hAnsi="Times New Roman" w:cs="Times New Roman"/>
          <w:sz w:val="24"/>
          <w:szCs w:val="24"/>
          <w:lang w:eastAsia="it-IT"/>
        </w:rPr>
        <w:t>non malignant</w:t>
      </w:r>
      <w:proofErr w:type="spellEnd"/>
      <w:r w:rsidRPr="00D10CE8">
        <w:rPr>
          <w:rFonts w:ascii="Times New Roman" w:eastAsia="Times New Roman" w:hAnsi="Times New Roman" w:cs="Times New Roman"/>
          <w:sz w:val="24"/>
          <w:szCs w:val="24"/>
          <w:lang w:eastAsia="it-IT"/>
        </w:rPr>
        <w:t xml:space="preserve"> hematological disease focusing on </w:t>
      </w:r>
      <w:proofErr w:type="spellStart"/>
      <w:r w:rsidRPr="00D10CE8">
        <w:rPr>
          <w:rFonts w:ascii="Times New Roman" w:eastAsia="Times New Roman" w:hAnsi="Times New Roman" w:cs="Times New Roman"/>
          <w:sz w:val="24"/>
          <w:szCs w:val="24"/>
          <w:lang w:eastAsia="it-IT"/>
        </w:rPr>
        <w:t>Myelodisplastic</w:t>
      </w:r>
      <w:proofErr w:type="spellEnd"/>
      <w:r w:rsidRPr="00D10CE8">
        <w:rPr>
          <w:rFonts w:ascii="Times New Roman" w:eastAsia="Times New Roman" w:hAnsi="Times New Roman" w:cs="Times New Roman"/>
          <w:sz w:val="24"/>
          <w:szCs w:val="24"/>
          <w:lang w:eastAsia="it-IT"/>
        </w:rPr>
        <w:t xml:space="preserve"> syndromes, acute and </w:t>
      </w:r>
      <w:proofErr w:type="gramStart"/>
      <w:r w:rsidRPr="00D10CE8">
        <w:rPr>
          <w:rFonts w:ascii="Times New Roman" w:eastAsia="Times New Roman" w:hAnsi="Times New Roman" w:cs="Times New Roman"/>
          <w:sz w:val="24"/>
          <w:szCs w:val="24"/>
          <w:lang w:eastAsia="it-IT"/>
        </w:rPr>
        <w:t>Chronic</w:t>
      </w:r>
      <w:proofErr w:type="gramEnd"/>
      <w:r w:rsidRPr="00D10CE8">
        <w:rPr>
          <w:rFonts w:ascii="Times New Roman" w:eastAsia="Times New Roman" w:hAnsi="Times New Roman" w:cs="Times New Roman"/>
          <w:sz w:val="24"/>
          <w:szCs w:val="24"/>
          <w:lang w:eastAsia="it-IT"/>
        </w:rPr>
        <w:t xml:space="preserve"> </w:t>
      </w:r>
      <w:proofErr w:type="spellStart"/>
      <w:r w:rsidRPr="00D10CE8">
        <w:rPr>
          <w:rFonts w:ascii="Times New Roman" w:eastAsia="Times New Roman" w:hAnsi="Times New Roman" w:cs="Times New Roman"/>
          <w:sz w:val="24"/>
          <w:szCs w:val="24"/>
          <w:lang w:eastAsia="it-IT"/>
        </w:rPr>
        <w:t>leukemias</w:t>
      </w:r>
      <w:proofErr w:type="spellEnd"/>
      <w:r w:rsidRPr="00D10CE8">
        <w:rPr>
          <w:rFonts w:ascii="Times New Roman" w:eastAsia="Times New Roman" w:hAnsi="Times New Roman" w:cs="Times New Roman"/>
          <w:sz w:val="24"/>
          <w:szCs w:val="24"/>
          <w:lang w:eastAsia="it-IT"/>
        </w:rPr>
        <w:t xml:space="preserve"> and Myeloprolipherative neoplasms. He is responsible of Leukemia Section at Ospedale Luigi Sacco University of Milan</w:t>
      </w:r>
    </w:p>
    <w:p w:rsidR="00AE3E37" w:rsidRDefault="00AE3E37">
      <w:pPr>
        <w:pStyle w:val="Corpotes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735" w:rsidRDefault="00AA7735">
      <w:r>
        <w:separator/>
      </w:r>
    </w:p>
  </w:endnote>
  <w:endnote w:type="continuationSeparator" w:id="0">
    <w:p w:rsidR="00AA7735" w:rsidRDefault="00AA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1E89" w:rsidRDefault="00A9710C">
                          <w:pPr>
                            <w:spacing w:line="184" w:lineRule="exact"/>
                            <w:ind w:left="20" w:right="-12"/>
                            <w:rPr>
                              <w:rFonts w:ascii="Arial"/>
                              <w:color w:val="FFFFFF"/>
                              <w:sz w:val="16"/>
                            </w:rPr>
                          </w:pPr>
                          <w:r w:rsidRPr="00641E89">
                            <w:rPr>
                              <w:rFonts w:ascii="Arial"/>
                              <w:color w:val="FFFFFF"/>
                              <w:sz w:val="16"/>
                            </w:rPr>
                            <w:t>J Pain Relief</w:t>
                          </w:r>
                        </w:p>
                        <w:p w:rsidR="00AE3E37" w:rsidRPr="00641E89" w:rsidRDefault="00A9710C">
                          <w:pPr>
                            <w:spacing w:before="8"/>
                            <w:ind w:left="20" w:right="-12"/>
                            <w:rPr>
                              <w:rFonts w:ascii="Arial"/>
                              <w:color w:val="FFFFFF"/>
                              <w:sz w:val="16"/>
                            </w:rPr>
                          </w:pPr>
                          <w:r w:rsidRPr="00641E89">
                            <w:rPr>
                              <w:rFonts w:ascii="Arial"/>
                              <w:color w:val="FFFFFF"/>
                              <w:sz w:val="16"/>
                            </w:rPr>
                            <w:t xml:space="preserve">ISSN: 2167-0846 JPAR an open access </w:t>
                          </w:r>
                          <w:proofErr w:type="spellStart"/>
                          <w:r w:rsidRPr="00641E8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641E89" w:rsidRDefault="00A9710C">
                    <w:pPr>
                      <w:spacing w:line="184" w:lineRule="exact"/>
                      <w:ind w:left="20" w:right="-12"/>
                      <w:rPr>
                        <w:rFonts w:ascii="Arial"/>
                        <w:color w:val="FFFFFF"/>
                        <w:sz w:val="16"/>
                      </w:rPr>
                    </w:pPr>
                    <w:r w:rsidRPr="00641E89">
                      <w:rPr>
                        <w:rFonts w:ascii="Arial"/>
                        <w:color w:val="FFFFFF"/>
                        <w:sz w:val="16"/>
                      </w:rPr>
                      <w:t>J Pain Relief</w:t>
                    </w:r>
                  </w:p>
                  <w:p w:rsidR="00AE3E37" w:rsidRPr="00641E89" w:rsidRDefault="00A9710C">
                    <w:pPr>
                      <w:spacing w:before="8"/>
                      <w:ind w:left="20" w:right="-12"/>
                      <w:rPr>
                        <w:rFonts w:ascii="Arial"/>
                        <w:color w:val="FFFFFF"/>
                        <w:sz w:val="16"/>
                      </w:rPr>
                    </w:pPr>
                    <w:r w:rsidRPr="00641E89">
                      <w:rPr>
                        <w:rFonts w:ascii="Arial"/>
                        <w:color w:val="FFFFFF"/>
                        <w:sz w:val="16"/>
                      </w:rPr>
                      <w:t xml:space="preserve">ISSN: 2167-0846 JPAR an open access </w:t>
                    </w:r>
                    <w:proofErr w:type="spellStart"/>
                    <w:r w:rsidRPr="00641E89">
                      <w:rPr>
                        <w:rFonts w:ascii="Arial"/>
                        <w:color w:val="FFFFFF"/>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1E89" w:rsidRDefault="00A9710C">
                          <w:pPr>
                            <w:spacing w:line="269" w:lineRule="exact"/>
                            <w:jc w:val="center"/>
                            <w:rPr>
                              <w:rFonts w:ascii="Impact"/>
                              <w:color w:val="FFFFFF"/>
                              <w:sz w:val="24"/>
                            </w:rPr>
                          </w:pPr>
                          <w:r w:rsidRPr="00641E89">
                            <w:rPr>
                              <w:rFonts w:ascii="Impact"/>
                              <w:color w:val="FFFFFF"/>
                              <w:sz w:val="24"/>
                            </w:rPr>
                            <w:t>Fibromyalgia 2016</w:t>
                          </w:r>
                        </w:p>
                        <w:p w:rsidR="00AE3E37" w:rsidRPr="00641E89" w:rsidRDefault="00A9710C">
                          <w:pPr>
                            <w:spacing w:before="29"/>
                            <w:jc w:val="center"/>
                            <w:rPr>
                              <w:rFonts w:ascii="Arial"/>
                              <w:color w:val="FFFFFF"/>
                              <w:sz w:val="16"/>
                            </w:rPr>
                          </w:pPr>
                          <w:r w:rsidRPr="00641E8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641E89" w:rsidRDefault="00A9710C">
                    <w:pPr>
                      <w:spacing w:line="269" w:lineRule="exact"/>
                      <w:jc w:val="center"/>
                      <w:rPr>
                        <w:rFonts w:ascii="Impact"/>
                        <w:color w:val="FFFFFF"/>
                        <w:sz w:val="24"/>
                      </w:rPr>
                    </w:pPr>
                    <w:r w:rsidRPr="00641E89">
                      <w:rPr>
                        <w:rFonts w:ascii="Impact"/>
                        <w:color w:val="FFFFFF"/>
                        <w:sz w:val="24"/>
                      </w:rPr>
                      <w:t>Fibromyalgia 2016</w:t>
                    </w:r>
                  </w:p>
                  <w:p w:rsidR="00AE3E37" w:rsidRPr="00641E89" w:rsidRDefault="00A9710C">
                    <w:pPr>
                      <w:spacing w:before="29"/>
                      <w:jc w:val="center"/>
                      <w:rPr>
                        <w:rFonts w:ascii="Arial"/>
                        <w:color w:val="FFFFFF"/>
                        <w:sz w:val="16"/>
                      </w:rPr>
                    </w:pPr>
                    <w:r w:rsidRPr="00641E89">
                      <w:rPr>
                        <w:rFonts w:ascii="Arial"/>
                        <w:color w:val="FFFFFF"/>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1E89" w:rsidRDefault="00A9710C">
                          <w:pPr>
                            <w:spacing w:line="184" w:lineRule="exact"/>
                            <w:ind w:right="18"/>
                            <w:jc w:val="right"/>
                            <w:rPr>
                              <w:rFonts w:ascii="Arial"/>
                              <w:color w:val="FFFFFF"/>
                              <w:sz w:val="16"/>
                            </w:rPr>
                          </w:pPr>
                          <w:r w:rsidRPr="00641E89">
                            <w:rPr>
                              <w:rFonts w:ascii="Arial"/>
                              <w:color w:val="FFFFFF"/>
                              <w:sz w:val="16"/>
                            </w:rPr>
                            <w:t>Volume 5, Issue 3(</w:t>
                          </w:r>
                          <w:proofErr w:type="spellStart"/>
                          <w:r w:rsidRPr="00641E89">
                            <w:rPr>
                              <w:rFonts w:ascii="Arial"/>
                              <w:color w:val="FFFFFF"/>
                              <w:sz w:val="16"/>
                            </w:rPr>
                            <w:t>Suppl</w:t>
                          </w:r>
                          <w:proofErr w:type="spellEnd"/>
                          <w:r w:rsidRPr="00641E89">
                            <w:rPr>
                              <w:rFonts w:ascii="Arial"/>
                              <w:color w:val="FFFFFF"/>
                              <w:sz w:val="16"/>
                            </w:rPr>
                            <w:t>)</w:t>
                          </w:r>
                        </w:p>
                        <w:p w:rsidR="00AE3E37" w:rsidRPr="00641E89" w:rsidRDefault="00A9710C">
                          <w:pPr>
                            <w:spacing w:before="116"/>
                            <w:ind w:right="18"/>
                            <w:jc w:val="right"/>
                            <w:rPr>
                              <w:rFonts w:ascii="Minion Pro"/>
                              <w:color w:val="FFFFFF"/>
                              <w:sz w:val="16"/>
                            </w:rPr>
                          </w:pPr>
                          <w:r w:rsidRPr="00641E8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641E89" w:rsidRDefault="00A9710C">
                    <w:pPr>
                      <w:spacing w:line="184" w:lineRule="exact"/>
                      <w:ind w:right="18"/>
                      <w:jc w:val="right"/>
                      <w:rPr>
                        <w:rFonts w:ascii="Arial"/>
                        <w:color w:val="FFFFFF"/>
                        <w:sz w:val="16"/>
                      </w:rPr>
                    </w:pPr>
                    <w:r w:rsidRPr="00641E89">
                      <w:rPr>
                        <w:rFonts w:ascii="Arial"/>
                        <w:color w:val="FFFFFF"/>
                        <w:sz w:val="16"/>
                      </w:rPr>
                      <w:t>Volume 5, Issue 3(</w:t>
                    </w:r>
                    <w:proofErr w:type="spellStart"/>
                    <w:r w:rsidRPr="00641E89">
                      <w:rPr>
                        <w:rFonts w:ascii="Arial"/>
                        <w:color w:val="FFFFFF"/>
                        <w:sz w:val="16"/>
                      </w:rPr>
                      <w:t>Suppl</w:t>
                    </w:r>
                    <w:proofErr w:type="spellEnd"/>
                    <w:r w:rsidRPr="00641E89">
                      <w:rPr>
                        <w:rFonts w:ascii="Arial"/>
                        <w:color w:val="FFFFFF"/>
                        <w:sz w:val="16"/>
                      </w:rPr>
                      <w:t>)</w:t>
                    </w:r>
                  </w:p>
                  <w:p w:rsidR="00AE3E37" w:rsidRPr="00641E89" w:rsidRDefault="00A9710C">
                    <w:pPr>
                      <w:spacing w:before="116"/>
                      <w:ind w:right="18"/>
                      <w:jc w:val="right"/>
                      <w:rPr>
                        <w:rFonts w:ascii="Minion Pro"/>
                        <w:color w:val="FFFFFF"/>
                        <w:sz w:val="16"/>
                      </w:rPr>
                    </w:pPr>
                    <w:r w:rsidRPr="00641E89">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735" w:rsidRDefault="00AA7735">
      <w:r>
        <w:separator/>
      </w:r>
    </w:p>
  </w:footnote>
  <w:footnote w:type="continuationSeparator" w:id="0">
    <w:p w:rsidR="00AA7735" w:rsidRDefault="00AA7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1E89" w:rsidRDefault="00A9710C">
                          <w:pPr>
                            <w:spacing w:before="2" w:line="249" w:lineRule="auto"/>
                            <w:ind w:left="156" w:right="18" w:hanging="137"/>
                            <w:rPr>
                              <w:rFonts w:ascii="Arial"/>
                              <w:color w:val="FFFFFF"/>
                              <w:sz w:val="14"/>
                            </w:rPr>
                          </w:pPr>
                          <w:r w:rsidRPr="00641E89">
                            <w:rPr>
                              <w:rFonts w:ascii="Arial"/>
                              <w:color w:val="FFFFFF"/>
                              <w:sz w:val="14"/>
                            </w:rPr>
                            <w:t xml:space="preserve">T </w:t>
                          </w:r>
                          <w:proofErr w:type="spellStart"/>
                          <w:r w:rsidRPr="00641E89">
                            <w:rPr>
                              <w:rFonts w:ascii="Arial"/>
                              <w:color w:val="FFFFFF"/>
                              <w:sz w:val="14"/>
                            </w:rPr>
                            <w:t>Furuta</w:t>
                          </w:r>
                          <w:proofErr w:type="spellEnd"/>
                          <w:r w:rsidRPr="00641E89">
                            <w:rPr>
                              <w:rFonts w:ascii="Arial"/>
                              <w:color w:val="FFFFFF"/>
                              <w:sz w:val="14"/>
                            </w:rPr>
                            <w:t xml:space="preserve"> et al., J </w:t>
                          </w:r>
                          <w:proofErr w:type="spellStart"/>
                          <w:r w:rsidRPr="00641E89">
                            <w:rPr>
                              <w:rFonts w:ascii="Arial"/>
                              <w:color w:val="FFFFFF"/>
                              <w:sz w:val="14"/>
                            </w:rPr>
                            <w:t>Pai</w:t>
                          </w:r>
                          <w:proofErr w:type="spellEnd"/>
                          <w:r w:rsidRPr="00641E89">
                            <w:rPr>
                              <w:rFonts w:ascii="Arial"/>
                              <w:color w:val="FFFFFF"/>
                              <w:sz w:val="14"/>
                            </w:rPr>
                            <w:t xml:space="preserve"> n Relief 2016, 5:3(</w:t>
                          </w:r>
                          <w:proofErr w:type="spellStart"/>
                          <w:r w:rsidRPr="00641E89">
                            <w:rPr>
                              <w:rFonts w:ascii="Arial"/>
                              <w:color w:val="FFFFFF"/>
                              <w:sz w:val="14"/>
                            </w:rPr>
                            <w:t>Suppl</w:t>
                          </w:r>
                          <w:proofErr w:type="spellEnd"/>
                          <w:r w:rsidRPr="00641E89">
                            <w:rPr>
                              <w:rFonts w:ascii="Arial"/>
                              <w:color w:val="FFFFFF"/>
                              <w:sz w:val="14"/>
                            </w:rPr>
                            <w:t xml:space="preserve">) </w:t>
                          </w:r>
                          <w:hyperlink r:id="rId1">
                            <w:r w:rsidRPr="00641E89">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41E89" w:rsidRDefault="00A9710C">
                    <w:pPr>
                      <w:spacing w:before="2" w:line="249" w:lineRule="auto"/>
                      <w:ind w:left="156" w:right="18" w:hanging="137"/>
                      <w:rPr>
                        <w:rFonts w:ascii="Arial"/>
                        <w:color w:val="FFFFFF"/>
                        <w:sz w:val="14"/>
                      </w:rPr>
                    </w:pPr>
                    <w:r w:rsidRPr="00641E89">
                      <w:rPr>
                        <w:rFonts w:ascii="Arial"/>
                        <w:color w:val="FFFFFF"/>
                        <w:sz w:val="14"/>
                      </w:rPr>
                      <w:t xml:space="preserve">T </w:t>
                    </w:r>
                    <w:proofErr w:type="spellStart"/>
                    <w:r w:rsidRPr="00641E89">
                      <w:rPr>
                        <w:rFonts w:ascii="Arial"/>
                        <w:color w:val="FFFFFF"/>
                        <w:sz w:val="14"/>
                      </w:rPr>
                      <w:t>Furuta</w:t>
                    </w:r>
                    <w:proofErr w:type="spellEnd"/>
                    <w:r w:rsidRPr="00641E89">
                      <w:rPr>
                        <w:rFonts w:ascii="Arial"/>
                        <w:color w:val="FFFFFF"/>
                        <w:sz w:val="14"/>
                      </w:rPr>
                      <w:t xml:space="preserve"> et al., J </w:t>
                    </w:r>
                    <w:proofErr w:type="spellStart"/>
                    <w:r w:rsidRPr="00641E89">
                      <w:rPr>
                        <w:rFonts w:ascii="Arial"/>
                        <w:color w:val="FFFFFF"/>
                        <w:sz w:val="14"/>
                      </w:rPr>
                      <w:t>Pai</w:t>
                    </w:r>
                    <w:proofErr w:type="spellEnd"/>
                    <w:r w:rsidRPr="00641E89">
                      <w:rPr>
                        <w:rFonts w:ascii="Arial"/>
                        <w:color w:val="FFFFFF"/>
                        <w:sz w:val="14"/>
                      </w:rPr>
                      <w:t xml:space="preserve"> n Relief 2016, 5:3(</w:t>
                    </w:r>
                    <w:proofErr w:type="spellStart"/>
                    <w:r w:rsidRPr="00641E89">
                      <w:rPr>
                        <w:rFonts w:ascii="Arial"/>
                        <w:color w:val="FFFFFF"/>
                        <w:sz w:val="14"/>
                      </w:rPr>
                      <w:t>Suppl</w:t>
                    </w:r>
                    <w:proofErr w:type="spellEnd"/>
                    <w:r w:rsidRPr="00641E89">
                      <w:rPr>
                        <w:rFonts w:ascii="Arial"/>
                        <w:color w:val="FFFFFF"/>
                        <w:sz w:val="14"/>
                      </w:rPr>
                      <w:t xml:space="preserve">) </w:t>
                    </w:r>
                    <w:hyperlink r:id="rId2">
                      <w:r w:rsidRPr="00641E89">
                        <w:rPr>
                          <w:rFonts w:ascii="Arial"/>
                          <w:color w:val="FFFFFF"/>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41E89" w:rsidRDefault="00A9710C">
                          <w:pPr>
                            <w:pStyle w:val="Corpotesto"/>
                            <w:spacing w:line="187" w:lineRule="exact"/>
                            <w:ind w:left="20" w:right="-10"/>
                            <w:rPr>
                              <w:rFonts w:ascii="Myriad Pro"/>
                              <w:color w:val="FFFFFF"/>
                            </w:rPr>
                          </w:pPr>
                          <w:r w:rsidRPr="00641E89">
                            <w:rPr>
                              <w:rFonts w:ascii="Myriad Pro"/>
                              <w:color w:val="FFFFFF"/>
                            </w:rPr>
                            <w:t>International Conference on</w:t>
                          </w:r>
                        </w:p>
                        <w:p w:rsidR="00AE3E37" w:rsidRPr="00641E89" w:rsidRDefault="00A9710C">
                          <w:pPr>
                            <w:spacing w:line="614" w:lineRule="exact"/>
                            <w:ind w:left="20" w:right="-10"/>
                            <w:rPr>
                              <w:rFonts w:ascii="Minion Pro"/>
                              <w:color w:val="FFFFFF"/>
                              <w:sz w:val="24"/>
                            </w:rPr>
                          </w:pPr>
                          <w:r w:rsidRPr="00641E89">
                            <w:rPr>
                              <w:rFonts w:ascii="Impact"/>
                              <w:color w:val="FFFFFF"/>
                              <w:sz w:val="52"/>
                            </w:rPr>
                            <w:t xml:space="preserve">Fibromyalgia and Chronic Pain </w:t>
                          </w:r>
                          <w:r w:rsidRPr="00641E89">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641E89" w:rsidRDefault="00A9710C">
                    <w:pPr>
                      <w:pStyle w:val="Corpotesto"/>
                      <w:spacing w:line="187" w:lineRule="exact"/>
                      <w:ind w:left="20" w:right="-10"/>
                      <w:rPr>
                        <w:rFonts w:ascii="Myriad Pro"/>
                        <w:color w:val="FFFFFF"/>
                      </w:rPr>
                    </w:pPr>
                    <w:r w:rsidRPr="00641E89">
                      <w:rPr>
                        <w:rFonts w:ascii="Myriad Pro"/>
                        <w:color w:val="FFFFFF"/>
                      </w:rPr>
                      <w:t>International Conference on</w:t>
                    </w:r>
                  </w:p>
                  <w:p w:rsidR="00AE3E37" w:rsidRPr="00641E89" w:rsidRDefault="00A9710C">
                    <w:pPr>
                      <w:spacing w:line="614" w:lineRule="exact"/>
                      <w:ind w:left="20" w:right="-10"/>
                      <w:rPr>
                        <w:rFonts w:ascii="Minion Pro"/>
                        <w:color w:val="FFFFFF"/>
                        <w:sz w:val="24"/>
                      </w:rPr>
                    </w:pPr>
                    <w:r w:rsidRPr="00641E89">
                      <w:rPr>
                        <w:rFonts w:ascii="Impact"/>
                        <w:color w:val="FFFFFF"/>
                        <w:sz w:val="52"/>
                      </w:rPr>
                      <w:t xml:space="preserve">Fibromyalgia and Chronic Pain </w:t>
                    </w:r>
                    <w:r w:rsidRPr="00641E89">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92ED9"/>
    <w:rsid w:val="002965D5"/>
    <w:rsid w:val="00404E5B"/>
    <w:rsid w:val="00414F7B"/>
    <w:rsid w:val="004355DC"/>
    <w:rsid w:val="004749B4"/>
    <w:rsid w:val="00494130"/>
    <w:rsid w:val="004F3523"/>
    <w:rsid w:val="005973B9"/>
    <w:rsid w:val="005B3A56"/>
    <w:rsid w:val="006060CE"/>
    <w:rsid w:val="0063497F"/>
    <w:rsid w:val="00641E89"/>
    <w:rsid w:val="00665CAA"/>
    <w:rsid w:val="00724C6E"/>
    <w:rsid w:val="007A701A"/>
    <w:rsid w:val="007D7202"/>
    <w:rsid w:val="00873DF0"/>
    <w:rsid w:val="008756E6"/>
    <w:rsid w:val="00922CC3"/>
    <w:rsid w:val="009B191E"/>
    <w:rsid w:val="009B2D44"/>
    <w:rsid w:val="00A07E82"/>
    <w:rsid w:val="00A9710C"/>
    <w:rsid w:val="00AA7735"/>
    <w:rsid w:val="00AE1B40"/>
    <w:rsid w:val="00AE3E37"/>
    <w:rsid w:val="00AE6CA1"/>
    <w:rsid w:val="00B21A57"/>
    <w:rsid w:val="00BA1D51"/>
    <w:rsid w:val="00BD3747"/>
    <w:rsid w:val="00C33602"/>
    <w:rsid w:val="00C50BD5"/>
    <w:rsid w:val="00CD6F55"/>
    <w:rsid w:val="00D10CE8"/>
    <w:rsid w:val="00D307F1"/>
    <w:rsid w:val="00DD5886"/>
    <w:rsid w:val="00DE3104"/>
    <w:rsid w:val="00E24743"/>
    <w:rsid w:val="00F6193B"/>
    <w:rsid w:val="00F65C9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F56064-6441-425E-BB82-1FF9200A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71B2F-F7B3-4635-8C2D-1B51050A6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3419</Words>
  <Characters>19489</Characters>
  <Application>Microsoft Office Word</Application>
  <DocSecurity>0</DocSecurity>
  <Lines>162</Lines>
  <Paragraphs>45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Utente Windows</cp:lastModifiedBy>
  <cp:revision>3</cp:revision>
  <dcterms:created xsi:type="dcterms:W3CDTF">2017-11-16T16:36:00Z</dcterms:created>
  <dcterms:modified xsi:type="dcterms:W3CDTF">2017-11-16T16:45:00Z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Document_1">
    <vt:lpwstr>True</vt:lpwstr>
  </property>
  <property fmtid="{D5CDD505-2E9C-101B-9397-08002B2CF9AE}" pid="6" name="Mendeley Unique User Id_1">
    <vt:lpwstr>d8df560d-26f5-38d0-b48f-cd7b8813b664</vt:lpwstr>
  </property>
  <property fmtid="{D5CDD505-2E9C-101B-9397-08002B2CF9AE}" pid="7" name="Mendeley Citation Style_1">
    <vt:lpwstr>http://www.zotero.org/styles/ieee</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6th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16th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10th edition - Harvard</vt:lpwstr>
  </property>
  <property fmtid="{D5CDD505-2E9C-101B-9397-08002B2CF9AE}" pid="20" name="Mendeley Recent Style Id 6_1">
    <vt:lpwstr>http://www.zotero.org/styles/expert-review-of-hematology</vt:lpwstr>
  </property>
  <property fmtid="{D5CDD505-2E9C-101B-9397-08002B2CF9AE}" pid="21" name="Mendeley Recent Style Name 6_1">
    <vt:lpwstr>Expert Review of Hematology</vt:lpwstr>
  </property>
  <property fmtid="{D5CDD505-2E9C-101B-9397-08002B2CF9AE}" pid="22" name="Mendeley Recent Style Id 7_1">
    <vt:lpwstr>http://www.zotero.org/styles/ieee</vt:lpwstr>
  </property>
  <property fmtid="{D5CDD505-2E9C-101B-9397-08002B2CF9AE}" pid="23" name="Mendeley Recent Style Name 7_1">
    <vt:lpwstr>IEEE</vt:lpwstr>
  </property>
  <property fmtid="{D5CDD505-2E9C-101B-9397-08002B2CF9AE}" pid="24" name="Mendeley Recent Style Id 8_1">
    <vt:lpwstr>http://www.zotero.org/styles/modern-humanities-research-association</vt:lpwstr>
  </property>
  <property fmtid="{D5CDD505-2E9C-101B-9397-08002B2CF9AE}" pid="25" name="Mendeley Recent Style Name 8_1">
    <vt:lpwstr>Modern Humanities Research Association 3rd edition (note with bibliography)</vt:lpwstr>
  </property>
  <property fmtid="{D5CDD505-2E9C-101B-9397-08002B2CF9AE}" pid="26" name="Mendeley Recent Style Id 9_1">
    <vt:lpwstr>http://www.zotero.org/styles/modern-language-association</vt:lpwstr>
  </property>
  <property fmtid="{D5CDD505-2E9C-101B-9397-08002B2CF9AE}" pid="27" name="Mendeley Recent Style Name 9_1">
    <vt:lpwstr>Modern Language Association 7th edition</vt:lpwstr>
  </property>
</Properties>
</file>