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  <w:r>
        <w:rPr>
          <w:rFonts w:ascii="Times" w:hAnsi="Times"/>
          <w:sz w:val="24"/>
          <w:szCs w:val="24"/>
          <w:rtl w:val="0"/>
          <w:lang w:val="en-US"/>
        </w:rPr>
        <w:t>Nonalcoholic fatty liver disease</w:t>
      </w:r>
      <w:r>
        <w:rPr>
          <w:rFonts w:ascii="Times" w:hAnsi="Times"/>
          <w:sz w:val="24"/>
          <w:szCs w:val="24"/>
          <w:rtl w:val="0"/>
          <w:lang w:val="fr-FR"/>
        </w:rPr>
        <w:t xml:space="preserve"> (NASH)and </w:t>
      </w:r>
      <w:r>
        <w:rPr>
          <w:rFonts w:ascii="Times" w:hAnsi="Times"/>
          <w:sz w:val="24"/>
          <w:szCs w:val="24"/>
          <w:rtl w:val="0"/>
          <w:lang w:val="it-IT"/>
        </w:rPr>
        <w:t>non</w:t>
      </w:r>
      <w:r>
        <w:rPr>
          <w:rFonts w:ascii="Times" w:hAnsi="Times"/>
          <w:sz w:val="24"/>
          <w:szCs w:val="24"/>
          <w:rtl w:val="0"/>
          <w:lang w:val="fr-FR"/>
        </w:rPr>
        <w:t xml:space="preserve"> </w:t>
      </w:r>
      <w:r>
        <w:rPr>
          <w:rFonts w:ascii="Times" w:hAnsi="Times"/>
          <w:sz w:val="24"/>
          <w:szCs w:val="24"/>
          <w:rtl w:val="0"/>
          <w:lang w:val="en-US"/>
        </w:rPr>
        <w:t>alcoholic fatty liver disease (NAFLD)</w:t>
      </w:r>
      <w:r>
        <w:rPr>
          <w:rFonts w:ascii="Times" w:hAnsi="Times"/>
          <w:sz w:val="24"/>
          <w:szCs w:val="24"/>
          <w:rtl w:val="0"/>
          <w:lang w:val="fr-FR"/>
        </w:rPr>
        <w:t xml:space="preserve"> are </w:t>
      </w:r>
      <w:r>
        <w:rPr>
          <w:rFonts w:ascii="Times" w:hAnsi="Times"/>
          <w:sz w:val="24"/>
          <w:szCs w:val="24"/>
          <w:rtl w:val="0"/>
          <w:lang w:val="en-US"/>
        </w:rPr>
        <w:t xml:space="preserve"> associated with changes in the intestinal microbiota</w:t>
      </w:r>
      <w:r>
        <w:rPr>
          <w:rFonts w:ascii="Times" w:hAnsi="Times"/>
          <w:sz w:val="24"/>
          <w:szCs w:val="24"/>
          <w:rtl w:val="0"/>
          <w:lang w:val="fr-FR"/>
        </w:rPr>
        <w:t>.</w:t>
      </w: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  <w:r>
        <w:rPr>
          <w:rFonts w:ascii="Times" w:hAnsi="Times"/>
          <w:sz w:val="24"/>
          <w:szCs w:val="24"/>
          <w:rtl w:val="0"/>
          <w:lang w:val="en-US"/>
        </w:rPr>
        <w:t xml:space="preserve">Dysbiosis can </w:t>
      </w:r>
      <w:r>
        <w:rPr>
          <w:rFonts w:ascii="Times" w:hAnsi="Times"/>
          <w:sz w:val="24"/>
          <w:szCs w:val="24"/>
          <w:rtl w:val="0"/>
          <w:lang w:val="fr-FR"/>
        </w:rPr>
        <w:t>develop</w:t>
      </w:r>
      <w:r>
        <w:rPr>
          <w:rFonts w:ascii="Times" w:hAnsi="Times"/>
          <w:sz w:val="24"/>
          <w:szCs w:val="24"/>
          <w:rtl w:val="0"/>
          <w:lang w:val="en-US"/>
        </w:rPr>
        <w:t xml:space="preserve"> intestinal inflammation and </w:t>
      </w:r>
      <w:r>
        <w:rPr>
          <w:rFonts w:ascii="Times" w:hAnsi="Times"/>
          <w:sz w:val="24"/>
          <w:szCs w:val="24"/>
          <w:rtl w:val="0"/>
          <w:lang w:val="fr-FR"/>
        </w:rPr>
        <w:t>alter</w:t>
      </w:r>
      <w:r>
        <w:rPr>
          <w:rFonts w:ascii="Times" w:hAnsi="Times"/>
          <w:sz w:val="24"/>
          <w:szCs w:val="24"/>
          <w:rtl w:val="0"/>
          <w:lang w:val="en-US"/>
        </w:rPr>
        <w:t xml:space="preserve"> the gut barrier. Microbial products reach the liver, induce hepatic inflammation and contribute to  progression</w:t>
      </w:r>
      <w:r>
        <w:rPr>
          <w:rFonts w:ascii="Times" w:hAnsi="Times"/>
          <w:sz w:val="24"/>
          <w:szCs w:val="24"/>
          <w:rtl w:val="0"/>
          <w:lang w:val="fr-FR"/>
        </w:rPr>
        <w:t xml:space="preserve"> liver disease</w:t>
      </w:r>
      <w:r>
        <w:rPr>
          <w:rFonts w:ascii="Times" w:hAnsi="Times"/>
          <w:sz w:val="24"/>
          <w:szCs w:val="24"/>
          <w:rtl w:val="0"/>
        </w:rPr>
        <w:t xml:space="preserve">. </w:t>
      </w: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  <w:r>
        <w:rPr>
          <w:rFonts w:ascii="Times" w:hAnsi="Times"/>
          <w:sz w:val="24"/>
          <w:szCs w:val="24"/>
          <w:rtl w:val="0"/>
          <w:lang w:val="fr-FR"/>
        </w:rPr>
        <w:t>T</w:t>
      </w:r>
      <w:r>
        <w:rPr>
          <w:rFonts w:ascii="Times" w:hAnsi="Times"/>
          <w:sz w:val="24"/>
          <w:szCs w:val="24"/>
          <w:rtl w:val="0"/>
          <w:lang w:val="en-US"/>
        </w:rPr>
        <w:t>he gut microbiota is a</w:t>
      </w:r>
      <w:r>
        <w:rPr>
          <w:rFonts w:ascii="Times" w:hAnsi="Times"/>
          <w:sz w:val="24"/>
          <w:szCs w:val="24"/>
          <w:rtl w:val="0"/>
          <w:lang w:val="fr-FR"/>
        </w:rPr>
        <w:t>n important  factor</w:t>
      </w:r>
      <w:r>
        <w:rPr>
          <w:rFonts w:ascii="Times" w:hAnsi="Times"/>
          <w:sz w:val="24"/>
          <w:szCs w:val="24"/>
          <w:rtl w:val="0"/>
          <w:lang w:val="en-US"/>
        </w:rPr>
        <w:t xml:space="preserve"> in the regulation of metabolic pathways, </w:t>
      </w:r>
      <w:r>
        <w:rPr>
          <w:rFonts w:ascii="Times" w:hAnsi="Times"/>
          <w:sz w:val="24"/>
          <w:szCs w:val="24"/>
          <w:rtl w:val="0"/>
          <w:lang w:val="fr-FR"/>
        </w:rPr>
        <w:t>the</w:t>
      </w:r>
      <w:r>
        <w:rPr>
          <w:rFonts w:ascii="Times" w:hAnsi="Times"/>
          <w:sz w:val="24"/>
          <w:szCs w:val="24"/>
          <w:rtl w:val="0"/>
          <w:lang w:val="en-US"/>
        </w:rPr>
        <w:t xml:space="preserve"> approaches </w:t>
      </w:r>
      <w:r>
        <w:rPr>
          <w:rFonts w:ascii="Times" w:hAnsi="Times"/>
          <w:sz w:val="24"/>
          <w:szCs w:val="24"/>
          <w:rtl w:val="0"/>
          <w:lang w:val="fr-FR"/>
        </w:rPr>
        <w:t xml:space="preserve">are </w:t>
      </w:r>
      <w:r>
        <w:rPr>
          <w:rFonts w:ascii="Times" w:hAnsi="Times"/>
          <w:sz w:val="24"/>
          <w:szCs w:val="24"/>
          <w:rtl w:val="0"/>
          <w:lang w:val="en-US"/>
        </w:rPr>
        <w:t xml:space="preserve">identified </w:t>
      </w:r>
      <w:r>
        <w:rPr>
          <w:rFonts w:ascii="Times" w:hAnsi="Times"/>
          <w:sz w:val="24"/>
          <w:szCs w:val="24"/>
          <w:rtl w:val="0"/>
          <w:lang w:val="fr-FR"/>
        </w:rPr>
        <w:t xml:space="preserve">in chemical processes involving metabolites </w:t>
      </w:r>
      <w:r>
        <w:rPr>
          <w:rFonts w:ascii="Times" w:hAnsi="Times"/>
          <w:sz w:val="24"/>
          <w:szCs w:val="24"/>
          <w:rtl w:val="0"/>
          <w:lang w:val="en-US"/>
        </w:rPr>
        <w:t xml:space="preserve"> in patients with NASH</w:t>
      </w:r>
      <w:r>
        <w:rPr>
          <w:rFonts w:ascii="Times" w:hAnsi="Times"/>
          <w:sz w:val="24"/>
          <w:szCs w:val="24"/>
          <w:rtl w:val="0"/>
          <w:lang w:val="fr-FR"/>
        </w:rPr>
        <w:t xml:space="preserve"> and NAFDL</w:t>
      </w:r>
      <w:r>
        <w:rPr>
          <w:rFonts w:ascii="Times" w:hAnsi="Times"/>
          <w:sz w:val="24"/>
          <w:szCs w:val="24"/>
          <w:rtl w:val="0"/>
        </w:rPr>
        <w:t xml:space="preserve">. </w:t>
      </w: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  <w:r>
        <w:rPr>
          <w:rFonts w:ascii="Times" w:hAnsi="Times"/>
          <w:sz w:val="24"/>
          <w:szCs w:val="24"/>
          <w:rtl w:val="0"/>
          <w:lang w:val="en-US"/>
        </w:rPr>
        <w:t xml:space="preserve">Altered metabolite patterns can serve as biomarkers, whereas specific metabolites have been </w:t>
      </w:r>
      <w:r>
        <w:rPr>
          <w:rFonts w:ascii="Times" w:hAnsi="Times"/>
          <w:sz w:val="24"/>
          <w:szCs w:val="24"/>
          <w:rtl w:val="0"/>
          <w:lang w:val="fr-FR"/>
        </w:rPr>
        <w:t xml:space="preserve">identified </w:t>
      </w:r>
      <w:r>
        <w:rPr>
          <w:rFonts w:ascii="Times" w:hAnsi="Times"/>
          <w:sz w:val="24"/>
          <w:szCs w:val="24"/>
          <w:rtl w:val="0"/>
          <w:lang w:val="en-US"/>
        </w:rPr>
        <w:t xml:space="preserve">with disease progression. </w:t>
      </w: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  <w:r>
        <w:rPr>
          <w:rFonts w:ascii="Times" w:hAnsi="Times"/>
          <w:sz w:val="24"/>
          <w:szCs w:val="24"/>
          <w:rtl w:val="0"/>
          <w:lang w:val="fr-FR"/>
        </w:rPr>
        <w:t xml:space="preserve">A </w:t>
      </w:r>
      <w:r>
        <w:rPr>
          <w:rFonts w:ascii="Times" w:hAnsi="Times"/>
          <w:sz w:val="24"/>
          <w:szCs w:val="24"/>
          <w:rtl w:val="0"/>
          <w:lang w:val="en-US"/>
        </w:rPr>
        <w:t>new therapeutic microbiome-based approaches</w:t>
      </w:r>
      <w:r>
        <w:rPr>
          <w:rFonts w:ascii="Times" w:hAnsi="Times"/>
          <w:sz w:val="24"/>
          <w:szCs w:val="24"/>
          <w:rtl w:val="0"/>
          <w:lang w:val="fr-FR"/>
        </w:rPr>
        <w:t xml:space="preserve"> can serve to treat  NASH.</w:t>
      </w: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  <w:r>
        <w:rPr>
          <w:rFonts w:ascii="Times" w:hAnsi="Times"/>
          <w:sz w:val="24"/>
          <w:szCs w:val="24"/>
          <w:rtl w:val="0"/>
          <w:lang w:val="en-US"/>
        </w:rPr>
        <w:t xml:space="preserve">We </w:t>
      </w:r>
      <w:r>
        <w:rPr>
          <w:rFonts w:ascii="Times" w:hAnsi="Times"/>
          <w:sz w:val="24"/>
          <w:szCs w:val="24"/>
          <w:rtl w:val="0"/>
          <w:lang w:val="fr-FR"/>
        </w:rPr>
        <w:t xml:space="preserve">know </w:t>
      </w:r>
      <w:r>
        <w:rPr>
          <w:rFonts w:ascii="Times" w:hAnsi="Times"/>
          <w:sz w:val="24"/>
          <w:szCs w:val="24"/>
          <w:rtl w:val="0"/>
          <w:lang w:val="en-US"/>
        </w:rPr>
        <w:t xml:space="preserve"> in a well-characterized adult population, that NA</w:t>
      </w:r>
      <w:r>
        <w:rPr>
          <w:rFonts w:ascii="Times" w:hAnsi="Times"/>
          <w:sz w:val="24"/>
          <w:szCs w:val="24"/>
          <w:rtl w:val="0"/>
          <w:lang w:val="fr-FR"/>
        </w:rPr>
        <w:t>SH</w:t>
      </w:r>
      <w:r>
        <w:rPr>
          <w:rFonts w:ascii="Times" w:hAnsi="Times"/>
          <w:sz w:val="24"/>
          <w:szCs w:val="24"/>
          <w:rtl w:val="0"/>
          <w:lang w:val="en-US"/>
        </w:rPr>
        <w:t xml:space="preserve"> was associated with reduced abundance of several bacterial taxa (</w:t>
      </w:r>
      <w:r>
        <w:rPr>
          <w:rFonts w:ascii="Times" w:hAnsi="Times"/>
          <w:i w:val="1"/>
          <w:iCs w:val="1"/>
          <w:sz w:val="24"/>
          <w:szCs w:val="24"/>
          <w:rtl w:val="0"/>
          <w:lang w:val="it-IT"/>
        </w:rPr>
        <w:t>Ruminococcus, Coprococcus</w:t>
      </w:r>
      <w:r>
        <w:rPr>
          <w:rFonts w:ascii="Times" w:hAnsi="Times"/>
          <w:sz w:val="24"/>
          <w:szCs w:val="24"/>
          <w:rtl w:val="0"/>
          <w:lang w:val="en-US"/>
        </w:rPr>
        <w:t xml:space="preserve"> and </w:t>
      </w:r>
      <w:r>
        <w:rPr>
          <w:rFonts w:ascii="Times" w:hAnsi="Times"/>
          <w:i w:val="1"/>
          <w:iCs w:val="1"/>
          <w:sz w:val="24"/>
          <w:szCs w:val="24"/>
          <w:rtl w:val="0"/>
          <w:lang w:val="de-DE"/>
        </w:rPr>
        <w:t>F. prausnitzii</w:t>
      </w:r>
      <w:r>
        <w:rPr>
          <w:rFonts w:ascii="Times" w:hAnsi="Times"/>
          <w:sz w:val="24"/>
          <w:szCs w:val="24"/>
          <w:rtl w:val="0"/>
          <w:lang w:val="en-US"/>
        </w:rPr>
        <w:t>) independent of BMI</w:t>
      </w:r>
      <w:r>
        <w:rPr>
          <w:rFonts w:ascii="Times" w:hAnsi="Times"/>
          <w:sz w:val="24"/>
          <w:szCs w:val="24"/>
          <w:rtl w:val="0"/>
          <w:lang w:val="fr-FR"/>
        </w:rPr>
        <w:t xml:space="preserve"> (body mass index)</w:t>
      </w:r>
      <w:r>
        <w:rPr>
          <w:rFonts w:ascii="Times" w:hAnsi="Times"/>
          <w:sz w:val="24"/>
          <w:szCs w:val="24"/>
          <w:rtl w:val="0"/>
          <w:lang w:val="en-US"/>
        </w:rPr>
        <w:t xml:space="preserve"> and IR</w:t>
      </w:r>
      <w:r>
        <w:rPr>
          <w:rFonts w:ascii="Times" w:hAnsi="Times"/>
          <w:sz w:val="24"/>
          <w:szCs w:val="24"/>
          <w:rtl w:val="0"/>
          <w:lang w:val="fr-FR"/>
        </w:rPr>
        <w:t xml:space="preserve"> (insulin resistance) </w:t>
      </w:r>
      <w:r>
        <w:rPr>
          <w:rFonts w:ascii="Times" w:hAnsi="Times"/>
          <w:sz w:val="24"/>
          <w:szCs w:val="24"/>
          <w:rtl w:val="0"/>
          <w:lang w:val="en-US"/>
        </w:rPr>
        <w:t>and higher concentrations of select fecal and serum metabolites, which may suggest a specific IM</w:t>
      </w:r>
      <w:r>
        <w:rPr>
          <w:rFonts w:ascii="Times" w:hAnsi="Times"/>
          <w:sz w:val="24"/>
          <w:szCs w:val="24"/>
          <w:rtl w:val="0"/>
          <w:lang w:val="fr-FR"/>
        </w:rPr>
        <w:t xml:space="preserve"> (intestinal microbiota)</w:t>
      </w:r>
      <w:r>
        <w:rPr>
          <w:rFonts w:ascii="Times" w:hAnsi="Times"/>
          <w:sz w:val="24"/>
          <w:szCs w:val="24"/>
          <w:rtl w:val="0"/>
          <w:lang w:val="en-US"/>
        </w:rPr>
        <w:t xml:space="preserve"> community and functional profile in these patients</w:t>
      </w:r>
      <w:r>
        <w:rPr>
          <w:rFonts w:ascii="Times" w:hAnsi="Times"/>
          <w:sz w:val="24"/>
          <w:szCs w:val="24"/>
          <w:rtl w:val="0"/>
          <w:lang w:val="fr-FR"/>
        </w:rPr>
        <w:t>(1)</w:t>
      </w:r>
      <w:r>
        <w:rPr>
          <w:rFonts w:ascii="Times" w:hAnsi="Times"/>
          <w:sz w:val="24"/>
          <w:szCs w:val="24"/>
          <w:rtl w:val="0"/>
        </w:rPr>
        <w:t xml:space="preserve">. </w:t>
      </w: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</w:p>
    <w:p>
      <w:pPr>
        <w:pStyle w:val="Par défaut"/>
        <w:bidi w:val="0"/>
        <w:spacing w:line="28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rtl w:val="0"/>
        </w:rPr>
      </w:pPr>
    </w:p>
    <w:p>
      <w:pPr>
        <w:pStyle w:val="Corps"/>
        <w:bidi w:val="0"/>
      </w:pPr>
      <w:r>
        <w:rPr>
          <w:rtl w:val="0"/>
        </w:rPr>
        <w:t xml:space="preserve">(1) </w:t>
      </w:r>
      <w:r>
        <w:rPr>
          <w:rtl w:val="0"/>
          <w:lang w:val="en-US"/>
        </w:rPr>
        <w:t>Nonalcoholic fatty liver disease is associated with dysbiosis independent of body mass index and insulin resistance</w:t>
      </w:r>
    </w:p>
    <w:p>
      <w:pPr>
        <w:pStyle w:val="Corps"/>
        <w:bidi w:val="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"https://www.ncbi.nlm.nih.gov/pubmed/?term=Da%20Silva%20HE%5BAuthor%5D&amp;cauthor=true&amp;cauthor_uid=29362454"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Hannah E. Da Silva</w:t>
      </w:r>
      <w:r>
        <w:rPr/>
        <w:fldChar w:fldCharType="end" w:fldLock="0"/>
      </w:r>
      <w:r>
        <w:rPr>
          <w:color w:val="000000"/>
          <w:u w:val="none"/>
          <w:rtl w:val="0"/>
        </w:rPr>
        <w:t>,</w:t>
      </w:r>
      <w:r>
        <w:rPr>
          <w:color w:val="000000"/>
          <w:sz w:val="20"/>
          <w:szCs w:val="20"/>
          <w:u w:val="none"/>
          <w:vertAlign w:val="superscript"/>
          <w:rtl w:val="0"/>
        </w:rPr>
        <w:t>1</w:t>
      </w:r>
      <w:r>
        <w:rPr>
          <w:color w:val="000000"/>
          <w:u w:val="none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"https://www.ncbi.nlm.nih.gov/pubmed/?term=Teterina%20A%5BAuthor%5D&amp;cauthor=true&amp;cauthor_uid=29362454"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Anastasia Teterina</w:t>
      </w:r>
      <w:r>
        <w:rPr/>
        <w:fldChar w:fldCharType="end" w:fldLock="0"/>
      </w:r>
      <w:r>
        <w:rPr>
          <w:color w:val="000000"/>
          <w:u w:val="none"/>
          <w:rtl w:val="0"/>
        </w:rPr>
        <w:t>,</w:t>
      </w:r>
      <w:r>
        <w:rPr>
          <w:color w:val="000000"/>
          <w:sz w:val="20"/>
          <w:szCs w:val="20"/>
          <w:u w:val="none"/>
          <w:vertAlign w:val="superscript"/>
          <w:rtl w:val="0"/>
        </w:rPr>
        <w:t>2</w:t>
      </w:r>
      <w:r>
        <w:rPr>
          <w:color w:val="000000"/>
          <w:u w:val="none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"https://www.ncbi.nlm.nih.gov/pubmed/?term=Comelli%20EM%5BAuthor%5D&amp;cauthor=true&amp;cauthor_uid=29362454"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Elena M. Comelli</w:t>
      </w:r>
      <w:r>
        <w:rPr/>
        <w:fldChar w:fldCharType="end" w:fldLock="0"/>
      </w:r>
      <w:r>
        <w:rPr>
          <w:color w:val="000000"/>
          <w:u w:val="none"/>
          <w:rtl w:val="0"/>
        </w:rPr>
        <w:t>,</w:t>
      </w:r>
      <w:r>
        <w:rPr>
          <w:color w:val="000000"/>
          <w:sz w:val="20"/>
          <w:szCs w:val="20"/>
          <w:u w:val="none"/>
          <w:vertAlign w:val="superscript"/>
          <w:rtl w:val="0"/>
        </w:rPr>
        <w:t>3</w:t>
      </w:r>
      <w:r>
        <w:rPr>
          <w:color w:val="000000"/>
          <w:u w:val="none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"https://www.ncbi.nlm.nih.gov/pubmed/?term=Taibi%20A%5BAuthor%5D&amp;cauthor=true&amp;cauthor_uid=29362454"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Amel Taibi</w:t>
      </w:r>
      <w:r>
        <w:rPr/>
        <w:fldChar w:fldCharType="end" w:fldLock="0"/>
      </w:r>
      <w:r>
        <w:rPr>
          <w:color w:val="000000"/>
          <w:u w:val="none"/>
          <w:rtl w:val="0"/>
        </w:rPr>
        <w:t>,</w:t>
      </w:r>
      <w:r>
        <w:rPr>
          <w:color w:val="000000"/>
          <w:sz w:val="20"/>
          <w:szCs w:val="20"/>
          <w:u w:val="none"/>
          <w:vertAlign w:val="superscript"/>
          <w:rtl w:val="0"/>
        </w:rPr>
        <w:t>3</w:t>
      </w:r>
      <w:r>
        <w:rPr>
          <w:color w:val="000000"/>
          <w:u w:val="none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"https://www.ncbi.nlm.nih.gov/pubmed/?term=Arendt%20BM%5BAuthor%5D&amp;cauthor=true&amp;cauthor_uid=29362454"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Bianca M. Arendt</w:t>
      </w:r>
      <w:r>
        <w:rPr/>
        <w:fldChar w:fldCharType="end" w:fldLock="0"/>
      </w:r>
      <w:r>
        <w:rPr>
          <w:color w:val="000000"/>
          <w:u w:val="none"/>
          <w:rtl w:val="0"/>
        </w:rPr>
        <w:t>,</w:t>
      </w:r>
      <w:r>
        <w:rPr>
          <w:color w:val="000000"/>
          <w:sz w:val="20"/>
          <w:szCs w:val="20"/>
          <w:u w:val="none"/>
          <w:vertAlign w:val="superscript"/>
          <w:rtl w:val="0"/>
        </w:rPr>
        <w:t>2</w:t>
      </w:r>
      <w:r>
        <w:rPr>
          <w:color w:val="000000"/>
          <w:u w:val="none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"https://www.ncbi.nlm.nih.gov/pubmed/?term=Fischer%20SE%5BAuthor%5D&amp;cauthor=true&amp;cauthor_uid=29362454"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Sandra E. Fischer</w:t>
      </w:r>
      <w:r>
        <w:rPr/>
        <w:fldChar w:fldCharType="end" w:fldLock="0"/>
      </w:r>
      <w:r>
        <w:rPr>
          <w:color w:val="000000"/>
          <w:u w:val="none"/>
          <w:rtl w:val="0"/>
        </w:rPr>
        <w:t>,</w:t>
      </w:r>
      <w:r>
        <w:rPr>
          <w:color w:val="000000"/>
          <w:sz w:val="20"/>
          <w:szCs w:val="20"/>
          <w:u w:val="none"/>
          <w:vertAlign w:val="superscript"/>
          <w:rtl w:val="0"/>
        </w:rPr>
        <w:t>2</w:t>
      </w:r>
      <w:r>
        <w:rPr>
          <w:color w:val="000000"/>
          <w:u w:val="none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"https://www.ncbi.nlm.nih.gov/pubmed/?term=Lou%20W%5BAuthor%5D&amp;cauthor=true&amp;cauthor_uid=29362454"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Wendy Lou</w:t>
      </w:r>
      <w:r>
        <w:rPr/>
        <w:fldChar w:fldCharType="end" w:fldLock="0"/>
      </w:r>
      <w:r>
        <w:rPr>
          <w:color w:val="000000"/>
          <w:u w:val="none"/>
          <w:rtl w:val="0"/>
        </w:rPr>
        <w:t>,</w:t>
      </w:r>
      <w:r>
        <w:rPr>
          <w:color w:val="000000"/>
          <w:sz w:val="20"/>
          <w:szCs w:val="20"/>
          <w:u w:val="none"/>
          <w:vertAlign w:val="superscript"/>
          <w:rtl w:val="0"/>
        </w:rPr>
        <w:t>4</w:t>
      </w:r>
      <w:r>
        <w:rPr>
          <w:color w:val="000000"/>
          <w:u w:val="none"/>
          <w:rtl w:val="0"/>
          <w:lang w:val="en-US"/>
        </w:rPr>
        <w:t xml:space="preserve"> and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"https://www.ncbi.nlm.nih.gov/pubmed/?term=Allard%20JP%5BAuthor%5D&amp;cauthor=true&amp;cauthor_uid=29362454"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Johane P. Allard</w:t>
      </w:r>
      <w:r>
        <w:rPr/>
        <w:fldChar w:fldCharType="end" w:fldLock="0"/>
      </w:r>
      <w:r>
        <w:rPr>
          <w:color w:val="000000"/>
          <w:sz w:val="20"/>
          <w:szCs w:val="20"/>
          <w:u w:val="none"/>
        </w:rPr>
        <w:drawing>
          <wp:inline distT="0" distB="0" distL="0" distR="0">
            <wp:extent cx="88900" cy="11430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rrauth.g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114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color w:val="000000"/>
          <w:sz w:val="20"/>
          <w:szCs w:val="20"/>
          <w:u w:val="none"/>
          <w:vertAlign w:val="superscript"/>
          <w:rtl w:val="0"/>
        </w:rPr>
        <w:t>2,3</w:t>
      </w:r>
      <w:r>
        <w:rPr>
          <w:color w:val="000000"/>
          <w:u w:val="none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g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