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269CA" w:rsidP="00494130">
      <w:pPr>
        <w:pStyle w:val="Heading1"/>
        <w:spacing w:before="170"/>
        <w:ind w:left="0"/>
      </w:pPr>
      <w:r>
        <w:rPr>
          <w:color w:val="337AB7"/>
        </w:rPr>
        <w:t>Laparoscopic Sleeve Gastrectomy and GERD.</w:t>
      </w:r>
    </w:p>
    <w:p w:rsidR="005973B9" w:rsidRDefault="004269CA" w:rsidP="004269CA">
      <w:pPr>
        <w:pStyle w:val="BodyText"/>
        <w:spacing w:before="73" w:line="198" w:lineRule="exact"/>
        <w:ind w:right="5987"/>
        <w:rPr>
          <w:rFonts w:ascii="Arial"/>
        </w:rPr>
      </w:pPr>
      <w:r>
        <w:rPr>
          <w:rFonts w:ascii="Arial"/>
        </w:rPr>
        <w:t>Safwan A Taha, MD, FACS, CABS, FR</w:t>
      </w:r>
      <w:bookmarkStart w:id="0" w:name="_GoBack"/>
      <w:bookmarkEnd w:id="0"/>
      <w:r>
        <w:rPr>
          <w:rFonts w:ascii="Arial"/>
        </w:rPr>
        <w:t xml:space="preserve">CSGlasg, MSMBS.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B1C48" w:rsidRPr="008B1C48" w:rsidRDefault="008B1C48" w:rsidP="008B1C48">
      <w:pPr>
        <w:pStyle w:val="Heading3"/>
        <w:spacing w:before="74"/>
        <w:rPr>
          <w:rFonts w:ascii="Tw Cen MT" w:eastAsia="Tw Cen MT" w:hAnsi="Tw Cen MT" w:cs="Tw Cen MT"/>
          <w:b w:val="0"/>
          <w:bCs w:val="0"/>
          <w:sz w:val="18"/>
          <w:szCs w:val="18"/>
        </w:rPr>
      </w:pPr>
      <w:r w:rsidRPr="008B1C48">
        <w:rPr>
          <w:rFonts w:ascii="Tw Cen MT" w:eastAsia="Tw Cen MT" w:hAnsi="Tw Cen MT" w:cs="Tw Cen MT"/>
          <w:b w:val="0"/>
          <w:bCs w:val="0"/>
          <w:sz w:val="18"/>
          <w:szCs w:val="18"/>
        </w:rPr>
        <w:t>Since its introduction, Laparoscopic Sleeve Gastrectomy (LSG) has always been criticized for its “unfavorable” effect on gastro-esophageal reflux disease (GERD) and\or causing it with conflicting reports in this regards. This presentation reviews data form the published international literature to delineate the effect of LSG on pre-existing GERD as well as its role in the development of new GERD symptoms following surgery with comparison of the effects of Roux-</w:t>
      </w:r>
      <w:proofErr w:type="spellStart"/>
      <w:r w:rsidRPr="008B1C48">
        <w:rPr>
          <w:rFonts w:ascii="Tw Cen MT" w:eastAsia="Tw Cen MT" w:hAnsi="Tw Cen MT" w:cs="Tw Cen MT"/>
          <w:b w:val="0"/>
          <w:bCs w:val="0"/>
          <w:sz w:val="18"/>
          <w:szCs w:val="18"/>
        </w:rPr>
        <w:t>en</w:t>
      </w:r>
      <w:proofErr w:type="spellEnd"/>
      <w:r w:rsidRPr="008B1C48">
        <w:rPr>
          <w:rFonts w:ascii="Tw Cen MT" w:eastAsia="Tw Cen MT" w:hAnsi="Tw Cen MT" w:cs="Tw Cen MT"/>
          <w:b w:val="0"/>
          <w:bCs w:val="0"/>
          <w:sz w:val="18"/>
          <w:szCs w:val="18"/>
        </w:rPr>
        <w:t xml:space="preserve">-Y gastric bypass (RYGB) on both aspects of GERD. </w:t>
      </w:r>
    </w:p>
    <w:p w:rsidR="00AE3E37" w:rsidRDefault="008B1C48" w:rsidP="008B1C48">
      <w:pPr>
        <w:pStyle w:val="Heading3"/>
        <w:spacing w:before="74"/>
        <w:jc w:val="both"/>
      </w:pPr>
      <w:r w:rsidRPr="008B1C48">
        <w:rPr>
          <w:rFonts w:ascii="Tw Cen MT" w:eastAsia="Tw Cen MT" w:hAnsi="Tw Cen MT" w:cs="Tw Cen MT"/>
          <w:b w:val="0"/>
          <w:bCs w:val="0"/>
          <w:sz w:val="18"/>
          <w:szCs w:val="18"/>
        </w:rPr>
        <w:t>Possible causes of the pattern of LSG's involvement with GERD are also discussed along with suggested solutions and the medical and surgical management of GERD following LSG are outlined in details too.</w:t>
      </w:r>
      <w:r w:rsidR="00A9710C">
        <w:rPr>
          <w:b w:val="0"/>
        </w:rPr>
        <w:br w:type="column"/>
      </w:r>
      <w:r w:rsidR="00A9710C">
        <w:rPr>
          <w:color w:val="BF5A14"/>
        </w:rPr>
        <w:lastRenderedPageBreak/>
        <w:t>Image</w:t>
      </w:r>
    </w:p>
    <w:p w:rsidR="00AE3E37" w:rsidRDefault="008B1C48">
      <w:pPr>
        <w:pStyle w:val="BodyText"/>
        <w:spacing w:before="2"/>
        <w:rPr>
          <w:rFonts w:ascii="Arial"/>
          <w:b/>
          <w:sz w:val="16"/>
        </w:rPr>
      </w:pPr>
      <w:r>
        <w:rPr>
          <w:noProof/>
        </w:rPr>
        <w:drawing>
          <wp:inline distT="0" distB="0" distL="0" distR="0" wp14:anchorId="18B7263D" wp14:editId="2AFE3730">
            <wp:extent cx="3317240" cy="1623060"/>
            <wp:effectExtent l="0" t="0" r="0" b="0"/>
            <wp:docPr id="12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7240" cy="1623060"/>
                    </a:xfrm>
                    <a:prstGeom prst="rect">
                      <a:avLst/>
                    </a:prstGeom>
                    <a:noFill/>
                    <a:ln>
                      <a:noFill/>
                    </a:ln>
                    <a:effectLs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C4327C" w:rsidRPr="00C4327C" w:rsidRDefault="00C4327C" w:rsidP="00C4327C">
      <w:pPr>
        <w:widowControl/>
        <w:numPr>
          <w:ilvl w:val="0"/>
          <w:numId w:val="4"/>
        </w:numPr>
        <w:contextualSpacing/>
        <w:jc w:val="both"/>
        <w:rPr>
          <w:rFonts w:eastAsia="Calibri" w:cs="Times New Roman"/>
          <w:sz w:val="18"/>
          <w:szCs w:val="18"/>
        </w:rPr>
      </w:pPr>
      <w:proofErr w:type="spellStart"/>
      <w:r w:rsidRPr="00C4327C">
        <w:rPr>
          <w:rFonts w:eastAsia="Calibri" w:cs="Times New Roman"/>
          <w:sz w:val="18"/>
          <w:szCs w:val="18"/>
        </w:rPr>
        <w:t>Viscido</w:t>
      </w:r>
      <w:proofErr w:type="spellEnd"/>
      <w:r w:rsidRPr="00C4327C">
        <w:rPr>
          <w:rFonts w:eastAsia="Calibri" w:cs="Times New Roman"/>
          <w:sz w:val="18"/>
          <w:szCs w:val="18"/>
        </w:rPr>
        <w:t xml:space="preserve"> G1, </w:t>
      </w:r>
      <w:proofErr w:type="spellStart"/>
      <w:r w:rsidRPr="00C4327C">
        <w:rPr>
          <w:rFonts w:eastAsia="Calibri" w:cs="Times New Roman"/>
          <w:sz w:val="18"/>
          <w:szCs w:val="18"/>
        </w:rPr>
        <w:t>Gorodner</w:t>
      </w:r>
      <w:proofErr w:type="spellEnd"/>
      <w:r w:rsidRPr="00C4327C">
        <w:rPr>
          <w:rFonts w:eastAsia="Calibri" w:cs="Times New Roman"/>
          <w:sz w:val="18"/>
          <w:szCs w:val="18"/>
        </w:rPr>
        <w:t xml:space="preserve"> V, </w:t>
      </w:r>
      <w:proofErr w:type="spellStart"/>
      <w:r w:rsidRPr="00C4327C">
        <w:rPr>
          <w:rFonts w:eastAsia="Calibri" w:cs="Times New Roman"/>
          <w:sz w:val="18"/>
          <w:szCs w:val="18"/>
        </w:rPr>
        <w:t>Signorini</w:t>
      </w:r>
      <w:proofErr w:type="spellEnd"/>
      <w:r w:rsidRPr="00C4327C">
        <w:rPr>
          <w:rFonts w:eastAsia="Calibri" w:cs="Times New Roman"/>
          <w:sz w:val="18"/>
          <w:szCs w:val="18"/>
        </w:rPr>
        <w:t xml:space="preserve"> F, Navarro L, </w:t>
      </w:r>
      <w:proofErr w:type="spellStart"/>
      <w:r w:rsidRPr="00C4327C">
        <w:rPr>
          <w:rFonts w:eastAsia="Calibri" w:cs="Times New Roman"/>
          <w:sz w:val="18"/>
          <w:szCs w:val="18"/>
        </w:rPr>
        <w:t>Obeide</w:t>
      </w:r>
      <w:proofErr w:type="spellEnd"/>
      <w:r w:rsidRPr="00C4327C">
        <w:rPr>
          <w:rFonts w:eastAsia="Calibri" w:cs="Times New Roman"/>
          <w:sz w:val="18"/>
          <w:szCs w:val="18"/>
        </w:rPr>
        <w:t xml:space="preserve"> L, Moser F. Laparoscopic Sleeve Gastrectomy: Endoscopic Findings and </w:t>
      </w:r>
      <w:proofErr w:type="spellStart"/>
      <w:r w:rsidRPr="00C4327C">
        <w:rPr>
          <w:rFonts w:eastAsia="Calibri" w:cs="Times New Roman"/>
          <w:sz w:val="18"/>
          <w:szCs w:val="18"/>
        </w:rPr>
        <w:t>Gastroesophageal</w:t>
      </w:r>
      <w:proofErr w:type="spellEnd"/>
      <w:r w:rsidRPr="00C4327C">
        <w:rPr>
          <w:rFonts w:eastAsia="Calibri" w:cs="Times New Roman"/>
          <w:sz w:val="18"/>
          <w:szCs w:val="18"/>
        </w:rPr>
        <w:t xml:space="preserve"> Reflux Symptoms at 18-Month Follow-Up. J </w:t>
      </w:r>
      <w:proofErr w:type="spellStart"/>
      <w:r w:rsidRPr="00C4327C">
        <w:rPr>
          <w:rFonts w:eastAsia="Calibri" w:cs="Times New Roman"/>
          <w:sz w:val="18"/>
          <w:szCs w:val="18"/>
        </w:rPr>
        <w:t>Laparoendosc</w:t>
      </w:r>
      <w:proofErr w:type="spellEnd"/>
      <w:r w:rsidRPr="00C4327C">
        <w:rPr>
          <w:rFonts w:eastAsia="Calibri" w:cs="Times New Roman"/>
          <w:sz w:val="18"/>
          <w:szCs w:val="18"/>
        </w:rPr>
        <w:t xml:space="preserve"> </w:t>
      </w:r>
      <w:proofErr w:type="spellStart"/>
      <w:r w:rsidRPr="00C4327C">
        <w:rPr>
          <w:rFonts w:eastAsia="Calibri" w:cs="Times New Roman"/>
          <w:sz w:val="18"/>
          <w:szCs w:val="18"/>
        </w:rPr>
        <w:t>Adv</w:t>
      </w:r>
      <w:proofErr w:type="spellEnd"/>
      <w:r w:rsidRPr="00C4327C">
        <w:rPr>
          <w:rFonts w:eastAsia="Calibri" w:cs="Times New Roman"/>
          <w:sz w:val="18"/>
          <w:szCs w:val="18"/>
        </w:rPr>
        <w:t xml:space="preserve"> </w:t>
      </w:r>
      <w:proofErr w:type="spellStart"/>
      <w:r w:rsidRPr="00C4327C">
        <w:rPr>
          <w:rFonts w:eastAsia="Calibri" w:cs="Times New Roman"/>
          <w:sz w:val="18"/>
          <w:szCs w:val="18"/>
        </w:rPr>
        <w:t>Surg</w:t>
      </w:r>
      <w:proofErr w:type="spellEnd"/>
      <w:r w:rsidRPr="00C4327C">
        <w:rPr>
          <w:rFonts w:eastAsia="Calibri" w:cs="Times New Roman"/>
          <w:sz w:val="18"/>
          <w:szCs w:val="18"/>
        </w:rPr>
        <w:t xml:space="preserve"> Tech A. 2018 Jan; 28(1):71-77. </w:t>
      </w:r>
    </w:p>
    <w:p w:rsidR="00C4327C" w:rsidRPr="00C4327C" w:rsidRDefault="00C4327C" w:rsidP="00C4327C">
      <w:pPr>
        <w:widowControl/>
        <w:numPr>
          <w:ilvl w:val="0"/>
          <w:numId w:val="4"/>
        </w:numPr>
        <w:contextualSpacing/>
        <w:jc w:val="both"/>
        <w:rPr>
          <w:rFonts w:eastAsia="Calibri" w:cs="Times New Roman"/>
          <w:sz w:val="18"/>
          <w:szCs w:val="18"/>
        </w:rPr>
      </w:pPr>
      <w:proofErr w:type="spellStart"/>
      <w:r w:rsidRPr="00C4327C">
        <w:rPr>
          <w:rFonts w:eastAsia="Calibri" w:cs="Times New Roman"/>
          <w:sz w:val="18"/>
          <w:szCs w:val="18"/>
        </w:rPr>
        <w:t>Althuwaini</w:t>
      </w:r>
      <w:proofErr w:type="spellEnd"/>
      <w:r w:rsidRPr="00C4327C">
        <w:rPr>
          <w:rFonts w:eastAsia="Calibri" w:cs="Times New Roman"/>
          <w:sz w:val="18"/>
          <w:szCs w:val="18"/>
        </w:rPr>
        <w:t xml:space="preserve"> S, </w:t>
      </w:r>
      <w:proofErr w:type="spellStart"/>
      <w:r w:rsidRPr="00C4327C">
        <w:rPr>
          <w:rFonts w:eastAsia="Calibri" w:cs="Times New Roman"/>
          <w:sz w:val="18"/>
          <w:szCs w:val="18"/>
        </w:rPr>
        <w:t>Bamehriz</w:t>
      </w:r>
      <w:proofErr w:type="spellEnd"/>
      <w:r w:rsidRPr="00C4327C">
        <w:rPr>
          <w:rFonts w:eastAsia="Calibri" w:cs="Times New Roman"/>
          <w:sz w:val="18"/>
          <w:szCs w:val="18"/>
        </w:rPr>
        <w:t xml:space="preserve"> F, </w:t>
      </w:r>
      <w:proofErr w:type="spellStart"/>
      <w:r w:rsidRPr="00C4327C">
        <w:rPr>
          <w:rFonts w:eastAsia="Calibri" w:cs="Times New Roman"/>
          <w:sz w:val="18"/>
          <w:szCs w:val="18"/>
        </w:rPr>
        <w:t>Aldohayan</w:t>
      </w:r>
      <w:proofErr w:type="spellEnd"/>
      <w:r w:rsidRPr="00C4327C">
        <w:rPr>
          <w:rFonts w:eastAsia="Calibri" w:cs="Times New Roman"/>
          <w:sz w:val="18"/>
          <w:szCs w:val="18"/>
        </w:rPr>
        <w:t xml:space="preserve"> A, </w:t>
      </w:r>
      <w:proofErr w:type="spellStart"/>
      <w:r w:rsidRPr="00C4327C">
        <w:rPr>
          <w:rFonts w:eastAsia="Calibri" w:cs="Times New Roman"/>
          <w:sz w:val="18"/>
          <w:szCs w:val="18"/>
        </w:rPr>
        <w:t>Alshammari</w:t>
      </w:r>
      <w:proofErr w:type="spellEnd"/>
      <w:r w:rsidRPr="00C4327C">
        <w:rPr>
          <w:rFonts w:eastAsia="Calibri" w:cs="Times New Roman"/>
          <w:sz w:val="18"/>
          <w:szCs w:val="18"/>
        </w:rPr>
        <w:t xml:space="preserve"> W, </w:t>
      </w:r>
      <w:proofErr w:type="spellStart"/>
      <w:r w:rsidRPr="00C4327C">
        <w:rPr>
          <w:rFonts w:eastAsia="Calibri" w:cs="Times New Roman"/>
          <w:sz w:val="18"/>
          <w:szCs w:val="18"/>
        </w:rPr>
        <w:t>Alhaidar</w:t>
      </w:r>
      <w:proofErr w:type="spellEnd"/>
      <w:r w:rsidRPr="00C4327C">
        <w:rPr>
          <w:rFonts w:eastAsia="Calibri" w:cs="Times New Roman"/>
          <w:sz w:val="18"/>
          <w:szCs w:val="18"/>
        </w:rPr>
        <w:t xml:space="preserve"> S, </w:t>
      </w:r>
      <w:proofErr w:type="spellStart"/>
      <w:r w:rsidRPr="00C4327C">
        <w:rPr>
          <w:rFonts w:eastAsia="Calibri" w:cs="Times New Roman"/>
          <w:sz w:val="18"/>
          <w:szCs w:val="18"/>
        </w:rPr>
        <w:t>Alotaibi</w:t>
      </w:r>
      <w:proofErr w:type="spellEnd"/>
      <w:r w:rsidRPr="00C4327C">
        <w:rPr>
          <w:rFonts w:eastAsia="Calibri" w:cs="Times New Roman"/>
          <w:sz w:val="18"/>
          <w:szCs w:val="18"/>
        </w:rPr>
        <w:t xml:space="preserve"> M, </w:t>
      </w:r>
      <w:proofErr w:type="spellStart"/>
      <w:r w:rsidRPr="00C4327C">
        <w:rPr>
          <w:rFonts w:eastAsia="Calibri" w:cs="Times New Roman"/>
          <w:sz w:val="18"/>
          <w:szCs w:val="18"/>
        </w:rPr>
        <w:t>Alanazi</w:t>
      </w:r>
      <w:proofErr w:type="spellEnd"/>
      <w:r w:rsidRPr="00C4327C">
        <w:rPr>
          <w:rFonts w:eastAsia="Calibri" w:cs="Times New Roman"/>
          <w:sz w:val="18"/>
          <w:szCs w:val="18"/>
        </w:rPr>
        <w:t xml:space="preserve"> A, </w:t>
      </w:r>
      <w:proofErr w:type="spellStart"/>
      <w:r w:rsidRPr="00C4327C">
        <w:rPr>
          <w:rFonts w:eastAsia="Calibri" w:cs="Times New Roman"/>
          <w:sz w:val="18"/>
          <w:szCs w:val="18"/>
        </w:rPr>
        <w:t>Alsahabi</w:t>
      </w:r>
      <w:proofErr w:type="spellEnd"/>
      <w:r w:rsidRPr="00C4327C">
        <w:rPr>
          <w:rFonts w:eastAsia="Calibri" w:cs="Times New Roman"/>
          <w:sz w:val="18"/>
          <w:szCs w:val="18"/>
        </w:rPr>
        <w:t xml:space="preserve"> H, </w:t>
      </w:r>
      <w:proofErr w:type="spellStart"/>
      <w:r w:rsidRPr="00C4327C">
        <w:rPr>
          <w:rFonts w:eastAsia="Calibri" w:cs="Times New Roman"/>
          <w:sz w:val="18"/>
          <w:szCs w:val="18"/>
        </w:rPr>
        <w:t>Almadi</w:t>
      </w:r>
      <w:proofErr w:type="spellEnd"/>
      <w:r w:rsidRPr="00C4327C">
        <w:rPr>
          <w:rFonts w:eastAsia="Calibri" w:cs="Times New Roman"/>
          <w:sz w:val="18"/>
          <w:szCs w:val="18"/>
        </w:rPr>
        <w:t xml:space="preserve"> MA. Prevalence and Predictors of </w:t>
      </w:r>
      <w:proofErr w:type="spellStart"/>
      <w:r w:rsidRPr="00C4327C">
        <w:rPr>
          <w:rFonts w:eastAsia="Calibri" w:cs="Times New Roman"/>
          <w:sz w:val="18"/>
          <w:szCs w:val="18"/>
        </w:rPr>
        <w:t>Gastroesophageal</w:t>
      </w:r>
      <w:proofErr w:type="spellEnd"/>
      <w:r w:rsidRPr="00C4327C">
        <w:rPr>
          <w:rFonts w:eastAsia="Calibri" w:cs="Times New Roman"/>
          <w:sz w:val="18"/>
          <w:szCs w:val="18"/>
        </w:rPr>
        <w:t xml:space="preserve"> Reflux Disease </w:t>
      </w:r>
      <w:proofErr w:type="gramStart"/>
      <w:r w:rsidRPr="00C4327C">
        <w:rPr>
          <w:rFonts w:eastAsia="Calibri" w:cs="Times New Roman"/>
          <w:sz w:val="18"/>
          <w:szCs w:val="18"/>
        </w:rPr>
        <w:t>After</w:t>
      </w:r>
      <w:proofErr w:type="gramEnd"/>
      <w:r w:rsidRPr="00C4327C">
        <w:rPr>
          <w:rFonts w:eastAsia="Calibri" w:cs="Times New Roman"/>
          <w:sz w:val="18"/>
          <w:szCs w:val="18"/>
        </w:rPr>
        <w:t xml:space="preserve"> Laparoscopic Sleeve Gastrectomy. </w:t>
      </w:r>
      <w:proofErr w:type="spellStart"/>
      <w:r w:rsidRPr="00C4327C">
        <w:rPr>
          <w:rFonts w:eastAsia="Calibri" w:cs="Times New Roman"/>
          <w:sz w:val="18"/>
          <w:szCs w:val="18"/>
        </w:rPr>
        <w:t>Obes</w:t>
      </w:r>
      <w:proofErr w:type="spellEnd"/>
      <w:r w:rsidRPr="00C4327C">
        <w:rPr>
          <w:rFonts w:eastAsia="Calibri" w:cs="Times New Roman"/>
          <w:sz w:val="18"/>
          <w:szCs w:val="18"/>
        </w:rPr>
        <w:t xml:space="preserve"> Surg. 2018 Apr; 28(4):916-922.</w:t>
      </w:r>
    </w:p>
    <w:p w:rsidR="00C4327C" w:rsidRPr="00C4327C" w:rsidRDefault="00C4327C" w:rsidP="00C4327C">
      <w:pPr>
        <w:widowControl/>
        <w:numPr>
          <w:ilvl w:val="0"/>
          <w:numId w:val="4"/>
        </w:numPr>
        <w:contextualSpacing/>
        <w:jc w:val="both"/>
        <w:rPr>
          <w:rFonts w:eastAsia="Calibri" w:cs="Times New Roman"/>
          <w:sz w:val="18"/>
          <w:szCs w:val="18"/>
        </w:rPr>
      </w:pPr>
      <w:proofErr w:type="spellStart"/>
      <w:r w:rsidRPr="00C4327C">
        <w:rPr>
          <w:rFonts w:eastAsia="Calibri" w:cs="Times New Roman"/>
          <w:sz w:val="18"/>
          <w:szCs w:val="18"/>
        </w:rPr>
        <w:t>Coupaye</w:t>
      </w:r>
      <w:proofErr w:type="spellEnd"/>
      <w:r w:rsidRPr="00C4327C">
        <w:rPr>
          <w:rFonts w:eastAsia="Calibri" w:cs="Times New Roman"/>
          <w:sz w:val="18"/>
          <w:szCs w:val="18"/>
        </w:rPr>
        <w:t xml:space="preserve"> M, </w:t>
      </w:r>
      <w:proofErr w:type="spellStart"/>
      <w:r w:rsidRPr="00C4327C">
        <w:rPr>
          <w:rFonts w:eastAsia="Calibri" w:cs="Times New Roman"/>
          <w:sz w:val="18"/>
          <w:szCs w:val="18"/>
        </w:rPr>
        <w:t>Gorbatchef</w:t>
      </w:r>
      <w:proofErr w:type="spellEnd"/>
      <w:r w:rsidRPr="00C4327C">
        <w:rPr>
          <w:rFonts w:eastAsia="Calibri" w:cs="Times New Roman"/>
          <w:sz w:val="18"/>
          <w:szCs w:val="18"/>
        </w:rPr>
        <w:t xml:space="preserve"> C, Calabrese D, Sami O, </w:t>
      </w:r>
      <w:proofErr w:type="spellStart"/>
      <w:r w:rsidRPr="00C4327C">
        <w:rPr>
          <w:rFonts w:eastAsia="Calibri" w:cs="Times New Roman"/>
          <w:sz w:val="18"/>
          <w:szCs w:val="18"/>
        </w:rPr>
        <w:t>Msika</w:t>
      </w:r>
      <w:proofErr w:type="spellEnd"/>
      <w:r w:rsidRPr="00C4327C">
        <w:rPr>
          <w:rFonts w:eastAsia="Calibri" w:cs="Times New Roman"/>
          <w:sz w:val="18"/>
          <w:szCs w:val="18"/>
        </w:rPr>
        <w:t xml:space="preserve"> S, Coffin B, </w:t>
      </w:r>
      <w:proofErr w:type="spellStart"/>
      <w:r w:rsidRPr="00C4327C">
        <w:rPr>
          <w:rFonts w:eastAsia="Calibri" w:cs="Times New Roman"/>
          <w:sz w:val="18"/>
          <w:szCs w:val="18"/>
        </w:rPr>
        <w:t>Ledoux</w:t>
      </w:r>
      <w:proofErr w:type="spellEnd"/>
      <w:r w:rsidRPr="00C4327C">
        <w:rPr>
          <w:rFonts w:eastAsia="Calibri" w:cs="Times New Roman"/>
          <w:sz w:val="18"/>
          <w:szCs w:val="18"/>
        </w:rPr>
        <w:t xml:space="preserve"> S. </w:t>
      </w:r>
      <w:proofErr w:type="spellStart"/>
      <w:r w:rsidRPr="00C4327C">
        <w:rPr>
          <w:rFonts w:eastAsia="Calibri" w:cs="Times New Roman"/>
          <w:sz w:val="18"/>
          <w:szCs w:val="18"/>
        </w:rPr>
        <w:t>Gastroesophageal</w:t>
      </w:r>
      <w:proofErr w:type="spellEnd"/>
      <w:r w:rsidRPr="00C4327C">
        <w:rPr>
          <w:rFonts w:eastAsia="Calibri" w:cs="Times New Roman"/>
          <w:sz w:val="18"/>
          <w:szCs w:val="18"/>
        </w:rPr>
        <w:t xml:space="preserve"> Reflux After Sleeve Gastrectomy: a Prospective Mechanistic Study. </w:t>
      </w:r>
      <w:proofErr w:type="spellStart"/>
      <w:r w:rsidRPr="00C4327C">
        <w:rPr>
          <w:rFonts w:eastAsia="Calibri" w:cs="Times New Roman"/>
          <w:sz w:val="18"/>
          <w:szCs w:val="18"/>
        </w:rPr>
        <w:t>Obes</w:t>
      </w:r>
      <w:proofErr w:type="spellEnd"/>
      <w:r w:rsidRPr="00C4327C">
        <w:rPr>
          <w:rFonts w:eastAsia="Calibri" w:cs="Times New Roman"/>
          <w:sz w:val="18"/>
          <w:szCs w:val="18"/>
        </w:rPr>
        <w:t xml:space="preserve"> Surg. 2018 Mar; 28(3):838-845. </w:t>
      </w:r>
    </w:p>
    <w:p w:rsidR="00C4327C" w:rsidRPr="00C4327C" w:rsidRDefault="00C4327C" w:rsidP="00C4327C">
      <w:pPr>
        <w:widowControl/>
        <w:numPr>
          <w:ilvl w:val="0"/>
          <w:numId w:val="4"/>
        </w:numPr>
        <w:contextualSpacing/>
        <w:jc w:val="both"/>
        <w:rPr>
          <w:rFonts w:eastAsia="Calibri" w:cs="Times New Roman"/>
          <w:sz w:val="18"/>
          <w:szCs w:val="18"/>
        </w:rPr>
      </w:pPr>
      <w:r w:rsidRPr="00C4327C">
        <w:rPr>
          <w:rFonts w:eastAsia="Calibri" w:cs="Times New Roman"/>
          <w:sz w:val="18"/>
          <w:szCs w:val="18"/>
        </w:rPr>
        <w:t xml:space="preserve">Noel P, </w:t>
      </w:r>
      <w:proofErr w:type="spellStart"/>
      <w:r w:rsidRPr="00C4327C">
        <w:rPr>
          <w:rFonts w:eastAsia="Calibri" w:cs="Times New Roman"/>
          <w:sz w:val="18"/>
          <w:szCs w:val="18"/>
        </w:rPr>
        <w:t>Nedelcu</w:t>
      </w:r>
      <w:proofErr w:type="spellEnd"/>
      <w:r w:rsidRPr="00C4327C">
        <w:rPr>
          <w:rFonts w:eastAsia="Calibri" w:cs="Times New Roman"/>
          <w:sz w:val="18"/>
          <w:szCs w:val="18"/>
        </w:rPr>
        <w:t xml:space="preserve"> M, Eddbali I, Manos T, </w:t>
      </w:r>
      <w:proofErr w:type="spellStart"/>
      <w:r w:rsidRPr="00C4327C">
        <w:rPr>
          <w:rFonts w:eastAsia="Calibri" w:cs="Times New Roman"/>
          <w:sz w:val="18"/>
          <w:szCs w:val="18"/>
        </w:rPr>
        <w:t>Gagner</w:t>
      </w:r>
      <w:proofErr w:type="spellEnd"/>
      <w:r w:rsidRPr="00C4327C">
        <w:rPr>
          <w:rFonts w:eastAsia="Calibri" w:cs="Times New Roman"/>
          <w:sz w:val="18"/>
          <w:szCs w:val="18"/>
        </w:rPr>
        <w:t xml:space="preserve"> M. What are the long-term results 8 years after sleeve gastrectomy? </w:t>
      </w:r>
      <w:proofErr w:type="spellStart"/>
      <w:r w:rsidRPr="00C4327C">
        <w:rPr>
          <w:rFonts w:eastAsia="Calibri" w:cs="Times New Roman"/>
          <w:sz w:val="18"/>
          <w:szCs w:val="18"/>
        </w:rPr>
        <w:t>Surg</w:t>
      </w:r>
      <w:proofErr w:type="spellEnd"/>
      <w:r w:rsidRPr="00C4327C">
        <w:rPr>
          <w:rFonts w:eastAsia="Calibri" w:cs="Times New Roman"/>
          <w:sz w:val="18"/>
          <w:szCs w:val="18"/>
        </w:rPr>
        <w:t xml:space="preserve"> </w:t>
      </w:r>
      <w:proofErr w:type="spellStart"/>
      <w:r w:rsidRPr="00C4327C">
        <w:rPr>
          <w:rFonts w:eastAsia="Calibri" w:cs="Times New Roman"/>
          <w:sz w:val="18"/>
          <w:szCs w:val="18"/>
        </w:rPr>
        <w:t>Obes</w:t>
      </w:r>
      <w:proofErr w:type="spellEnd"/>
      <w:r w:rsidRPr="00C4327C">
        <w:rPr>
          <w:rFonts w:eastAsia="Calibri" w:cs="Times New Roman"/>
          <w:sz w:val="18"/>
          <w:szCs w:val="18"/>
        </w:rPr>
        <w:t xml:space="preserve"> </w:t>
      </w:r>
      <w:proofErr w:type="spellStart"/>
      <w:r w:rsidRPr="00C4327C">
        <w:rPr>
          <w:rFonts w:eastAsia="Calibri" w:cs="Times New Roman"/>
          <w:sz w:val="18"/>
          <w:szCs w:val="18"/>
        </w:rPr>
        <w:t>Relat</w:t>
      </w:r>
      <w:proofErr w:type="spellEnd"/>
      <w:r w:rsidRPr="00C4327C">
        <w:rPr>
          <w:rFonts w:eastAsia="Calibri" w:cs="Times New Roman"/>
          <w:sz w:val="18"/>
          <w:szCs w:val="18"/>
        </w:rPr>
        <w:t xml:space="preserve"> Dis. 2017 Jul; 13(7):1110-1115. </w:t>
      </w:r>
    </w:p>
    <w:p w:rsidR="00C4327C" w:rsidRPr="00C4327C" w:rsidRDefault="00C4327C" w:rsidP="00C4327C">
      <w:pPr>
        <w:widowControl/>
        <w:numPr>
          <w:ilvl w:val="0"/>
          <w:numId w:val="4"/>
        </w:numPr>
        <w:contextualSpacing/>
        <w:jc w:val="both"/>
        <w:rPr>
          <w:rFonts w:eastAsia="Calibri" w:cs="Times New Roman"/>
          <w:sz w:val="18"/>
          <w:szCs w:val="18"/>
        </w:rPr>
      </w:pPr>
      <w:r w:rsidRPr="00C4327C">
        <w:rPr>
          <w:rFonts w:eastAsia="Calibri" w:cs="Times New Roman"/>
          <w:sz w:val="18"/>
          <w:szCs w:val="18"/>
        </w:rPr>
        <w:t xml:space="preserve">Biter LU, van </w:t>
      </w:r>
      <w:proofErr w:type="spellStart"/>
      <w:r w:rsidRPr="00C4327C">
        <w:rPr>
          <w:rFonts w:eastAsia="Calibri" w:cs="Times New Roman"/>
          <w:sz w:val="18"/>
          <w:szCs w:val="18"/>
        </w:rPr>
        <w:t>Buuren</w:t>
      </w:r>
      <w:proofErr w:type="spellEnd"/>
      <w:r w:rsidRPr="00C4327C">
        <w:rPr>
          <w:rFonts w:eastAsia="Calibri" w:cs="Times New Roman"/>
          <w:sz w:val="18"/>
          <w:szCs w:val="18"/>
        </w:rPr>
        <w:t xml:space="preserve"> MMA, </w:t>
      </w:r>
      <w:proofErr w:type="spellStart"/>
      <w:r w:rsidRPr="00C4327C">
        <w:rPr>
          <w:rFonts w:eastAsia="Calibri" w:cs="Times New Roman"/>
          <w:sz w:val="18"/>
          <w:szCs w:val="18"/>
        </w:rPr>
        <w:t>Mannaerts</w:t>
      </w:r>
      <w:proofErr w:type="spellEnd"/>
      <w:r w:rsidRPr="00C4327C">
        <w:rPr>
          <w:rFonts w:eastAsia="Calibri" w:cs="Times New Roman"/>
          <w:sz w:val="18"/>
          <w:szCs w:val="18"/>
        </w:rPr>
        <w:t xml:space="preserve"> GHH, </w:t>
      </w:r>
      <w:proofErr w:type="spellStart"/>
      <w:r w:rsidRPr="00C4327C">
        <w:rPr>
          <w:rFonts w:eastAsia="Calibri" w:cs="Times New Roman"/>
          <w:sz w:val="18"/>
          <w:szCs w:val="18"/>
        </w:rPr>
        <w:t>Apers</w:t>
      </w:r>
      <w:proofErr w:type="spellEnd"/>
      <w:r w:rsidRPr="00C4327C">
        <w:rPr>
          <w:rFonts w:eastAsia="Calibri" w:cs="Times New Roman"/>
          <w:sz w:val="18"/>
          <w:szCs w:val="18"/>
        </w:rPr>
        <w:t xml:space="preserve"> JA, </w:t>
      </w:r>
      <w:proofErr w:type="spellStart"/>
      <w:r w:rsidRPr="00C4327C">
        <w:rPr>
          <w:rFonts w:eastAsia="Calibri" w:cs="Times New Roman"/>
          <w:sz w:val="18"/>
          <w:szCs w:val="18"/>
        </w:rPr>
        <w:t>Dunkelgrün</w:t>
      </w:r>
      <w:proofErr w:type="spellEnd"/>
      <w:r w:rsidRPr="00C4327C">
        <w:rPr>
          <w:rFonts w:eastAsia="Calibri" w:cs="Times New Roman"/>
          <w:sz w:val="18"/>
          <w:szCs w:val="18"/>
        </w:rPr>
        <w:t xml:space="preserve"> M, </w:t>
      </w:r>
      <w:proofErr w:type="spellStart"/>
      <w:r w:rsidRPr="00C4327C">
        <w:rPr>
          <w:rFonts w:eastAsia="Calibri" w:cs="Times New Roman"/>
          <w:sz w:val="18"/>
          <w:szCs w:val="18"/>
        </w:rPr>
        <w:t>Vijgen</w:t>
      </w:r>
      <w:proofErr w:type="spellEnd"/>
      <w:r w:rsidRPr="00C4327C">
        <w:rPr>
          <w:rFonts w:eastAsia="Calibri" w:cs="Times New Roman"/>
          <w:sz w:val="18"/>
          <w:szCs w:val="18"/>
        </w:rPr>
        <w:t xml:space="preserve"> GHEJ. Quality of Life 1 Year </w:t>
      </w:r>
      <w:proofErr w:type="gramStart"/>
      <w:r w:rsidRPr="00C4327C">
        <w:rPr>
          <w:rFonts w:eastAsia="Calibri" w:cs="Times New Roman"/>
          <w:sz w:val="18"/>
          <w:szCs w:val="18"/>
        </w:rPr>
        <w:t>After</w:t>
      </w:r>
      <w:proofErr w:type="gramEnd"/>
      <w:r w:rsidRPr="00C4327C">
        <w:rPr>
          <w:rFonts w:eastAsia="Calibri" w:cs="Times New Roman"/>
          <w:sz w:val="18"/>
          <w:szCs w:val="18"/>
        </w:rPr>
        <w:t xml:space="preserve"> Laparoscopic Sleeve Gastrectomy Versus Laparoscopic Roux-</w:t>
      </w:r>
      <w:proofErr w:type="spellStart"/>
      <w:r w:rsidRPr="00C4327C">
        <w:rPr>
          <w:rFonts w:eastAsia="Calibri" w:cs="Times New Roman"/>
          <w:sz w:val="18"/>
          <w:szCs w:val="18"/>
        </w:rPr>
        <w:t>en</w:t>
      </w:r>
      <w:proofErr w:type="spellEnd"/>
      <w:r w:rsidRPr="00C4327C">
        <w:rPr>
          <w:rFonts w:eastAsia="Calibri" w:cs="Times New Roman"/>
          <w:sz w:val="18"/>
          <w:szCs w:val="18"/>
        </w:rPr>
        <w:t xml:space="preserve">-Y Gastric Bypass: a Randomized Controlled Trial Focusing on </w:t>
      </w:r>
      <w:proofErr w:type="spellStart"/>
      <w:r w:rsidRPr="00C4327C">
        <w:rPr>
          <w:rFonts w:eastAsia="Calibri" w:cs="Times New Roman"/>
          <w:sz w:val="18"/>
          <w:szCs w:val="18"/>
        </w:rPr>
        <w:t>Gastroesophageal</w:t>
      </w:r>
      <w:proofErr w:type="spellEnd"/>
      <w:r w:rsidRPr="00C4327C">
        <w:rPr>
          <w:rFonts w:eastAsia="Calibri" w:cs="Times New Roman"/>
          <w:sz w:val="18"/>
          <w:szCs w:val="18"/>
        </w:rPr>
        <w:t xml:space="preserve"> Reflux Disease. </w:t>
      </w:r>
      <w:proofErr w:type="spellStart"/>
      <w:r w:rsidRPr="00C4327C">
        <w:rPr>
          <w:rFonts w:eastAsia="Calibri" w:cs="Times New Roman"/>
          <w:sz w:val="18"/>
          <w:szCs w:val="18"/>
        </w:rPr>
        <w:t>Obes</w:t>
      </w:r>
      <w:proofErr w:type="spellEnd"/>
      <w:r w:rsidRPr="00C4327C">
        <w:rPr>
          <w:rFonts w:eastAsia="Calibri" w:cs="Times New Roman"/>
          <w:sz w:val="18"/>
          <w:szCs w:val="18"/>
        </w:rPr>
        <w:t xml:space="preserve"> Surg. 2017 Oct; 27(10):2557-2565.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10352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269CA" w:rsidRPr="007365E2">
        <w:rPr>
          <w:rFonts w:ascii="Arial" w:hAnsi="Arial"/>
          <w:noProof/>
        </w:rPr>
        <w:drawing>
          <wp:inline distT="0" distB="0" distL="0" distR="0">
            <wp:extent cx="693105" cy="689551"/>
            <wp:effectExtent l="0" t="0" r="0" b="0"/>
            <wp:docPr id="2" name="Picture 2" descr="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PP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4939" cy="701324"/>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4269CA" w:rsidP="004269CA">
      <w:pPr>
        <w:spacing w:before="41" w:line="154" w:lineRule="exact"/>
        <w:ind w:left="213" w:right="231"/>
        <w:jc w:val="both"/>
        <w:rPr>
          <w:rFonts w:ascii="Arial"/>
          <w:sz w:val="14"/>
        </w:rPr>
      </w:pPr>
      <w:r w:rsidRPr="004269CA">
        <w:rPr>
          <w:rFonts w:ascii="Arial"/>
          <w:sz w:val="14"/>
        </w:rPr>
        <w:t xml:space="preserve">Safwan </w:t>
      </w:r>
      <w:proofErr w:type="spellStart"/>
      <w:r w:rsidRPr="004269CA">
        <w:rPr>
          <w:rFonts w:ascii="Arial"/>
          <w:sz w:val="14"/>
        </w:rPr>
        <w:t>AbdulRahman</w:t>
      </w:r>
      <w:proofErr w:type="spellEnd"/>
      <w:r w:rsidRPr="004269CA">
        <w:rPr>
          <w:rFonts w:ascii="Arial"/>
          <w:sz w:val="14"/>
        </w:rPr>
        <w:t xml:space="preserve"> Taha graduated from Basrah College of Medicine</w:t>
      </w:r>
      <w:r>
        <w:rPr>
          <w:rFonts w:ascii="Arial"/>
          <w:sz w:val="14"/>
        </w:rPr>
        <w:t xml:space="preserve"> </w:t>
      </w:r>
      <w:r w:rsidRPr="004269CA">
        <w:rPr>
          <w:rFonts w:ascii="Arial"/>
          <w:sz w:val="14"/>
        </w:rPr>
        <w:t xml:space="preserve">on 1983 with honors where he became Professor of Surgery, on 2000 and then founding Dean of </w:t>
      </w:r>
      <w:proofErr w:type="spellStart"/>
      <w:r w:rsidRPr="004269CA">
        <w:rPr>
          <w:rFonts w:ascii="Arial"/>
          <w:sz w:val="14"/>
        </w:rPr>
        <w:t>Thi-Qar</w:t>
      </w:r>
      <w:proofErr w:type="spellEnd"/>
      <w:r w:rsidRPr="004269CA">
        <w:rPr>
          <w:rFonts w:ascii="Arial"/>
          <w:sz w:val="14"/>
        </w:rPr>
        <w:t xml:space="preserve"> College of medicine (IRAQ, 2003).   He holds Fellowship of the Royal College of Physician and Surgeons of Glasgow, Fellowship of the America</w:t>
      </w:r>
      <w:r>
        <w:rPr>
          <w:rFonts w:ascii="Arial"/>
          <w:sz w:val="14"/>
        </w:rPr>
        <w:t xml:space="preserve">n College of Surgeons, Diploma </w:t>
      </w:r>
      <w:r w:rsidRPr="004269CA">
        <w:rPr>
          <w:rFonts w:ascii="Arial"/>
          <w:sz w:val="14"/>
        </w:rPr>
        <w:t xml:space="preserve">laparoscopic Surgery from </w:t>
      </w:r>
      <w:r>
        <w:rPr>
          <w:rFonts w:ascii="Arial"/>
          <w:sz w:val="14"/>
        </w:rPr>
        <w:t>Strasbourg</w:t>
      </w:r>
      <w:r w:rsidRPr="004269CA">
        <w:rPr>
          <w:rFonts w:ascii="Arial"/>
          <w:sz w:val="14"/>
        </w:rPr>
        <w:t xml:space="preserve"> University; France and Certificate of the Arab Board of Surgery. Prof. Taha is currently Governor of the UAE Chapter of the American College of Surgeons, member of the Board of Governors of the American College of Surgeons, Member of the International Relations Committee of the American College of Surgeons and Vice President of the Emirates Society for </w:t>
      </w:r>
      <w:proofErr w:type="spellStart"/>
      <w:r w:rsidRPr="004269CA">
        <w:rPr>
          <w:rFonts w:ascii="Arial"/>
          <w:sz w:val="14"/>
        </w:rPr>
        <w:t>Laparo</w:t>
      </w:r>
      <w:proofErr w:type="spellEnd"/>
      <w:r w:rsidRPr="004269CA">
        <w:rPr>
          <w:rFonts w:ascii="Arial"/>
          <w:sz w:val="14"/>
        </w:rPr>
        <w:t>-Endoscopic Surgeons. He is an international speaker and has more than 37 published papers. Prof. Taha is the Medical Director and Director of the Bariatric and Metabolic Surgery Center, Mediclinic Airport Road Hospital, Abu Dhabi; UAE.</w:t>
      </w:r>
      <w:r w:rsidR="00A9710C">
        <w:rPr>
          <w:rFonts w:ascii="Arial"/>
          <w:sz w:val="14"/>
        </w:rPr>
        <w:t>.</w:t>
      </w:r>
    </w:p>
    <w:p w:rsidR="00AE3E37" w:rsidRDefault="00A9710C" w:rsidP="004269CA">
      <w:pPr>
        <w:spacing w:before="62"/>
        <w:ind w:left="4217" w:right="4235"/>
        <w:jc w:val="center"/>
        <w:rPr>
          <w:rStyle w:val="Hyperlink"/>
          <w:rFonts w:ascii="Arial"/>
          <w:sz w:val="14"/>
        </w:rPr>
      </w:pPr>
      <w:r>
        <w:rPr>
          <w:rFonts w:ascii="Arial"/>
          <w:sz w:val="14"/>
        </w:rPr>
        <w:t xml:space="preserve">Email: </w:t>
      </w:r>
      <w:hyperlink r:id="rId11" w:history="1">
        <w:r w:rsidR="004269CA" w:rsidRPr="002E566E">
          <w:rPr>
            <w:rStyle w:val="Hyperlink"/>
            <w:rFonts w:ascii="Arial"/>
            <w:sz w:val="14"/>
          </w:rPr>
          <w:t>Safwan.Taha@Mediclinic.ae</w:t>
        </w:r>
      </w:hyperlink>
    </w:p>
    <w:p w:rsidR="00827B1F" w:rsidRPr="00827B1F" w:rsidRDefault="00827B1F" w:rsidP="004269CA">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w:t>
      </w:r>
      <w:r w:rsidR="004269CA">
        <w:rPr>
          <w:rStyle w:val="Hyperlink"/>
          <w:rFonts w:ascii="Arial"/>
          <w:color w:val="auto"/>
          <w:sz w:val="14"/>
          <w:u w:val="none"/>
        </w:rPr>
        <w:t>971501453062</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21D8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4D2" w:rsidRDefault="006D74D2">
      <w:r>
        <w:separator/>
      </w:r>
    </w:p>
  </w:endnote>
  <w:endnote w:type="continuationSeparator" w:id="0">
    <w:p w:rsidR="006D74D2" w:rsidRDefault="006D7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4D2" w:rsidRDefault="006D74D2">
      <w:r>
        <w:separator/>
      </w:r>
    </w:p>
  </w:footnote>
  <w:footnote w:type="continuationSeparator" w:id="0">
    <w:p w:rsidR="006D74D2" w:rsidRDefault="006D74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2635A0"/>
    <w:multiLevelType w:val="hybridMultilevel"/>
    <w:tmpl w:val="25A69AEC"/>
    <w:lvl w:ilvl="0" w:tplc="9AF2B0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E2911"/>
    <w:rsid w:val="001263DF"/>
    <w:rsid w:val="002220FB"/>
    <w:rsid w:val="00292ED9"/>
    <w:rsid w:val="00404E5B"/>
    <w:rsid w:val="00414F7B"/>
    <w:rsid w:val="004269CA"/>
    <w:rsid w:val="004355DC"/>
    <w:rsid w:val="004749B4"/>
    <w:rsid w:val="00494130"/>
    <w:rsid w:val="004F3523"/>
    <w:rsid w:val="00545089"/>
    <w:rsid w:val="005973B9"/>
    <w:rsid w:val="005B3A56"/>
    <w:rsid w:val="006060CE"/>
    <w:rsid w:val="0063497F"/>
    <w:rsid w:val="006910C5"/>
    <w:rsid w:val="006D74D2"/>
    <w:rsid w:val="007A3127"/>
    <w:rsid w:val="00827B1F"/>
    <w:rsid w:val="00873DF0"/>
    <w:rsid w:val="008756E6"/>
    <w:rsid w:val="008B1C48"/>
    <w:rsid w:val="009B2D44"/>
    <w:rsid w:val="00A07E82"/>
    <w:rsid w:val="00A23418"/>
    <w:rsid w:val="00A9710C"/>
    <w:rsid w:val="00AE3E37"/>
    <w:rsid w:val="00B21A57"/>
    <w:rsid w:val="00C33602"/>
    <w:rsid w:val="00C4327C"/>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60B42E-C87F-419D-84B2-C3F3F3BFE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fwan.Taha@Mediclinic.a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Safwan Taha</cp:lastModifiedBy>
  <cp:revision>4</cp:revision>
  <dcterms:created xsi:type="dcterms:W3CDTF">2018-04-07T18:17:00Z</dcterms:created>
  <dcterms:modified xsi:type="dcterms:W3CDTF">2018-04-08T10:37:00Z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