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D3001" w14:textId="77777777" w:rsidR="0004208F" w:rsidRPr="00204AC6" w:rsidRDefault="0004208F" w:rsidP="0004208F">
      <w:pPr>
        <w:pStyle w:val="Subtitle"/>
        <w:jc w:val="center"/>
        <w:rPr>
          <w:b/>
          <w:bCs/>
          <w:sz w:val="24"/>
          <w:szCs w:val="24"/>
          <w:lang w:bidi="ar-EG"/>
        </w:rPr>
      </w:pPr>
      <w:r w:rsidRPr="00204AC6">
        <w:rPr>
          <w:b/>
          <w:bCs/>
          <w:sz w:val="24"/>
          <w:szCs w:val="24"/>
          <w:lang w:bidi="ar-EG"/>
        </w:rPr>
        <w:t>Efficacy of Sofosbuvir &amp; Ledipasvir in Comparison to Sofosbuvir &amp; Daclatasvir in Management of Egyptian Chronic Hepatitis C Patients</w:t>
      </w:r>
    </w:p>
    <w:p w14:paraId="73976868" w14:textId="2B5A775C" w:rsidR="0004208F" w:rsidRPr="007E26ED" w:rsidRDefault="0004208F" w:rsidP="0004208F">
      <w:pPr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bidi="ar-EG"/>
        </w:rPr>
      </w:pP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Adila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M. Mostafa##,</w:t>
      </w:r>
      <w:r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Israa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Nouh#,</w:t>
      </w:r>
      <w:r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Sameh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M.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Seif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</w:t>
      </w:r>
      <w:bookmarkStart w:id="0" w:name="_GoBack"/>
      <w:bookmarkEnd w:id="0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El-Din#,</w:t>
      </w:r>
      <w:r w:rsidRPr="00967604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Eman E.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Elshemy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##</w:t>
      </w:r>
    </w:p>
    <w:p w14:paraId="128D5A04" w14:textId="77777777" w:rsidR="0004208F" w:rsidRPr="007E26ED" w:rsidRDefault="0004208F" w:rsidP="0004208F">
      <w:pPr>
        <w:spacing w:before="120" w:after="120" w:line="240" w:lineRule="auto"/>
        <w:ind w:right="-316"/>
        <w:jc w:val="both"/>
        <w:rPr>
          <w:rFonts w:ascii="Times New Roman" w:hAnsi="Times New Roman" w:cs="Times New Roman"/>
          <w:color w:val="000000"/>
          <w:sz w:val="24"/>
          <w:szCs w:val="24"/>
          <w:lang w:bidi="ar-EG"/>
        </w:rPr>
      </w:pPr>
      <w:r w:rsidRPr="007E26ED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eastAsia="ar-SA"/>
        </w:rPr>
        <w:t xml:space="preserve"> Background </w:t>
      </w:r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Egypt is one of the highest prevalence of antibodies to hepatitis C virus (HCV) in the world, estimated nationally at 7.6%. Applying best treatment protocol has a great impact on the national disease burden. DAAs open the door to treat infected subjects as well as to decrease HCV prevalence. 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Aim of study:</w:t>
      </w:r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</w:t>
      </w:r>
      <w:r w:rsidRPr="007E26ED">
        <w:rPr>
          <w:rFonts w:ascii="Times New Roman" w:hAnsi="Times New Roman" w:cs="Times New Roman"/>
          <w:bCs/>
          <w:color w:val="000000"/>
          <w:sz w:val="24"/>
          <w:szCs w:val="24"/>
          <w:lang w:bidi="ar-EG"/>
        </w:rPr>
        <w:t xml:space="preserve">to compare the efficacy of Sofosbuvir plus ledipasvir versus Sofosbuvir plus daclatasvir in management of Egyptian chronic hepatitis C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bidi="ar-EG"/>
        </w:rPr>
        <w:t xml:space="preserve">infected </w:t>
      </w:r>
      <w:r w:rsidRPr="007E26ED">
        <w:rPr>
          <w:rFonts w:ascii="Times New Roman" w:hAnsi="Times New Roman" w:cs="Times New Roman"/>
          <w:bCs/>
          <w:color w:val="000000"/>
          <w:sz w:val="24"/>
          <w:szCs w:val="24"/>
          <w:lang w:bidi="ar-EG"/>
        </w:rPr>
        <w:t xml:space="preserve">patients either easy to treat (naive patients with child score A5) or difficult to treat (interferon experienced). </w:t>
      </w:r>
      <w:r w:rsidRPr="007E26ED">
        <w:rPr>
          <w:rFonts w:ascii="Times New Roman" w:hAnsi="Times New Roman" w:cs="Times New Roman"/>
          <w:b/>
          <w:color w:val="000000"/>
          <w:sz w:val="24"/>
          <w:szCs w:val="24"/>
          <w:lang w:bidi="ar-EG"/>
        </w:rPr>
        <w:t>Patients &amp;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ar-EG"/>
        </w:rPr>
        <w:t xml:space="preserve"> </w:t>
      </w:r>
      <w:r w:rsidRPr="007E26ED">
        <w:rPr>
          <w:rFonts w:ascii="Times New Roman" w:hAnsi="Times New Roman" w:cs="Times New Roman"/>
          <w:b/>
          <w:color w:val="000000"/>
          <w:sz w:val="24"/>
          <w:szCs w:val="24"/>
          <w:lang w:bidi="ar-EG"/>
        </w:rPr>
        <w:t xml:space="preserve">Methods: </w:t>
      </w:r>
      <w:r>
        <w:rPr>
          <w:rFonts w:ascii="Times New Roman" w:hAnsi="Times New Roman" w:cs="Times New Roman"/>
          <w:color w:val="000000"/>
          <w:sz w:val="24"/>
          <w:szCs w:val="24"/>
        </w:rPr>
        <w:t>this study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 was performed on 200 patients with chronic hepatitis C and they were classified into 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Group I: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Included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100 patients fulfill criteria of [easy to treat] and were subdivided into two subgroups; 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Group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Ia</w:t>
      </w:r>
      <w:proofErr w:type="spellEnd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50 patients received daily Sofosbuvir (400 mg) and Daclatasvir (60 mg)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for 12 weeks. 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Group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Ib</w:t>
      </w:r>
      <w:proofErr w:type="spellEnd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50 patients received daily Sofosbuvir (400 mg) and Ledipasvir (90 mg) for 12 weeks. 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Group II: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Included 100 patients fulfill criteria of (difficult to treat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 subdivided into two subgroups; 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Group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IIa</w:t>
      </w:r>
      <w:proofErr w:type="spellEnd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50 patients received daily Sofosbuvir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(400 mg)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and Daclatasvir (60 mg) and daily weight-based Ribavirin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(RBV) (1000 mg [&lt;75 kg] to 1200 mg [≥75kg])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for 12 weeks. 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Results: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GIa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: 50 patients treated with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Sof-Dac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showed 100% cure (-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ve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PCR) at wk12 and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wk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24.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GIb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: 50 patients treated with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Sof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-Led showed 98% cure (-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ve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PCR) at wk12 and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wk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24. 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GIIa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: 50 patients treated with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Sof-Dac-Riba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showed 100% cure (-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ve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PCR) at wk12 and 98% at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wk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24.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GIIb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: 50 patients treated with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Sof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-Led-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Riba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showed 98% cure (-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ve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PCR) at wk12 and 96 at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wk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24.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There was no significant difference between treatment regimens (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</w:rPr>
        <w:t>Sof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+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</w:rPr>
        <w:t>Dac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 or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</w:rPr>
        <w:t>Sof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+ Lid with or without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</w:rPr>
        <w:t>Riba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, r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egarding the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cure rate and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adverse events in all the studied groups which indicates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efficacy and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 saf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ty of both drug regimens. There was highly significant decrease in </w:t>
      </w:r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FIB4 calculation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 at week 24 in comparison to the baseline in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GIa</w:t>
      </w:r>
      <w:proofErr w:type="spellEnd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(2.23 to 0.67) and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GIb</w:t>
      </w:r>
      <w:proofErr w:type="spellEnd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(2.1 to 1.12)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(easy to treat</w:t>
      </w:r>
      <w:proofErr w:type="gramStart"/>
      <w:r w:rsidRPr="007E26ED">
        <w:rPr>
          <w:rFonts w:ascii="Times New Roman" w:hAnsi="Times New Roman" w:cs="Times New Roman"/>
          <w:color w:val="000000"/>
          <w:sz w:val="24"/>
          <w:szCs w:val="24"/>
        </w:rPr>
        <w:t>) ,</w:t>
      </w:r>
      <w:proofErr w:type="gramEnd"/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 while there was no significant d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nce in FIB4 calculation at week 24 in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GIIa</w:t>
      </w:r>
      <w:proofErr w:type="spellEnd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GIIb</w:t>
      </w:r>
      <w:proofErr w:type="spellEnd"/>
      <w:r w:rsidRPr="007E26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26ED">
        <w:rPr>
          <w:rFonts w:ascii="Times New Roman" w:hAnsi="Times New Roman" w:cs="Times New Roman"/>
          <w:color w:val="000000"/>
          <w:sz w:val="24"/>
          <w:szCs w:val="24"/>
        </w:rPr>
        <w:t xml:space="preserve">( difficult to treat). </w:t>
      </w:r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In conclusion: Both regimens are effective, well tolerated and associated with high rate of sustained </w:t>
      </w:r>
      <w:proofErr w:type="spellStart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>virological</w:t>
      </w:r>
      <w:proofErr w:type="spellEnd"/>
      <w:r w:rsidRPr="007E26ED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response (SVR).</w:t>
      </w:r>
    </w:p>
    <w:p w14:paraId="53C30539" w14:textId="77777777" w:rsidR="0004208F" w:rsidRPr="007E26ED" w:rsidRDefault="0004208F" w:rsidP="0004208F">
      <w:pPr>
        <w:tabs>
          <w:tab w:val="left" w:pos="630"/>
          <w:tab w:val="left" w:pos="810"/>
        </w:tabs>
        <w:spacing w:before="120" w:after="120" w:line="240" w:lineRule="auto"/>
        <w:ind w:right="-316"/>
        <w:jc w:val="both"/>
        <w:rPr>
          <w:rFonts w:ascii="Times New Roman" w:hAnsi="Times New Roman" w:cs="Times New Roman"/>
          <w:color w:val="000000"/>
          <w:sz w:val="24"/>
          <w:szCs w:val="24"/>
          <w:lang w:bidi="ar-EG"/>
        </w:rPr>
      </w:pPr>
    </w:p>
    <w:p w14:paraId="7BAC3744" w14:textId="77777777" w:rsidR="0004208F" w:rsidRPr="007E26ED" w:rsidRDefault="0004208F" w:rsidP="0004208F">
      <w:pPr>
        <w:spacing w:before="120" w:after="120" w:line="240" w:lineRule="auto"/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eastAsia="ar-SA"/>
        </w:rPr>
      </w:pPr>
      <w:r w:rsidRPr="007E26ED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eastAsia="ar-SA"/>
        </w:rPr>
        <w:t>Key words: DAAS, Daclatasvir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ar-EG"/>
        </w:rPr>
        <w:t xml:space="preserve">, </w:t>
      </w:r>
      <w:r w:rsidRPr="007E26ED">
        <w:rPr>
          <w:rFonts w:ascii="Times New Roman" w:hAnsi="Times New Roman" w:cs="Times New Roman"/>
          <w:b/>
          <w:color w:val="000000"/>
          <w:sz w:val="24"/>
          <w:szCs w:val="24"/>
          <w:lang w:bidi="ar-EG"/>
        </w:rPr>
        <w:t>Ledipasvir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ar-EG"/>
        </w:rPr>
        <w:t xml:space="preserve"> </w:t>
      </w:r>
      <w:r w:rsidRPr="007E26ED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eastAsia="ar-SA"/>
        </w:rPr>
        <w:t>&amp;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ar-EG"/>
        </w:rPr>
        <w:t>SVR.</w:t>
      </w:r>
    </w:p>
    <w:p w14:paraId="4E5EC6C5" w14:textId="77777777" w:rsidR="0004208F" w:rsidRDefault="0004208F"/>
    <w:sectPr w:rsidR="00042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08F"/>
    <w:rsid w:val="0004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56BD5"/>
  <w15:chartTrackingRefBased/>
  <w15:docId w15:val="{E3647D2F-AEF1-4472-A675-BAEF2BDF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08F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04208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0420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ElMahdi</dc:creator>
  <cp:keywords/>
  <dc:description/>
  <cp:lastModifiedBy>Ahmed ElMahdi</cp:lastModifiedBy>
  <cp:revision>1</cp:revision>
  <dcterms:created xsi:type="dcterms:W3CDTF">2020-02-19T10:47:00Z</dcterms:created>
  <dcterms:modified xsi:type="dcterms:W3CDTF">2020-02-19T10:48:00Z</dcterms:modified>
</cp:coreProperties>
</file>