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40670" w:rsidRDefault="00F40670" w:rsidP="00F40670">
      <w:pPr>
        <w:bidi w:val="0"/>
        <w:rPr>
          <w:rFonts w:asciiTheme="majorBidi" w:eastAsia="Calibri" w:hAnsiTheme="majorBidi" w:cstheme="majorBidi"/>
          <w:b/>
          <w:bCs/>
          <w:sz w:val="26"/>
          <w:szCs w:val="26"/>
          <w:lang w:bidi="ar-EG"/>
        </w:rPr>
      </w:pPr>
      <w:bookmarkStart w:id="0" w:name="_GoBack"/>
      <w:bookmarkEnd w:id="0"/>
      <w:r>
        <w:rPr>
          <w:rFonts w:asciiTheme="majorBidi" w:eastAsia="Calibri" w:hAnsiTheme="majorBidi" w:cstheme="majorBidi"/>
          <w:b/>
          <w:bCs/>
          <w:sz w:val="26"/>
          <w:szCs w:val="26"/>
          <w:lang w:bidi="ar-EG"/>
        </w:rPr>
        <w:t xml:space="preserve">                                                                                                       </w:t>
      </w:r>
      <w:r w:rsidRPr="00F40670">
        <w:rPr>
          <w:rFonts w:asciiTheme="majorBidi" w:eastAsia="Calibri" w:hAnsiTheme="majorBidi" w:cstheme="majorBidi"/>
          <w:b/>
          <w:bCs/>
          <w:noProof/>
          <w:sz w:val="26"/>
          <w:szCs w:val="26"/>
          <w:lang w:bidi="ar-EG"/>
        </w:rPr>
        <w:drawing>
          <wp:inline distT="0" distB="0" distL="0" distR="0">
            <wp:extent cx="884240" cy="1152939"/>
            <wp:effectExtent l="19050" t="0" r="0" b="0"/>
            <wp:docPr id="2" name="Picture 1" descr="C:\Users\Hamoly\Downloads\20200125_1427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amoly\Downloads\20200125_142753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4240" cy="115293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40670" w:rsidRPr="000E4080" w:rsidRDefault="00F40670" w:rsidP="00F40670">
      <w:pPr>
        <w:bidi w:val="0"/>
        <w:rPr>
          <w:rFonts w:asciiTheme="majorBidi" w:eastAsia="Calibri" w:hAnsiTheme="majorBidi" w:cstheme="majorBidi"/>
          <w:b/>
          <w:bCs/>
          <w:sz w:val="26"/>
          <w:szCs w:val="26"/>
          <w:lang w:bidi="ar-EG"/>
        </w:rPr>
      </w:pPr>
      <w:r>
        <w:rPr>
          <w:rFonts w:asciiTheme="majorBidi" w:eastAsia="Calibri" w:hAnsiTheme="majorBidi" w:cstheme="majorBidi"/>
          <w:b/>
          <w:bCs/>
          <w:sz w:val="26"/>
          <w:szCs w:val="26"/>
          <w:lang w:bidi="ar-EG"/>
        </w:rPr>
        <w:t xml:space="preserve">Title: </w:t>
      </w:r>
      <w:r w:rsidRPr="000E4080">
        <w:rPr>
          <w:rFonts w:asciiTheme="majorBidi" w:eastAsia="Calibri" w:hAnsiTheme="majorBidi" w:cstheme="majorBidi"/>
          <w:b/>
          <w:bCs/>
          <w:sz w:val="26"/>
          <w:szCs w:val="26"/>
          <w:lang w:bidi="ar-EG"/>
        </w:rPr>
        <w:t>Assessment of serum vitamin D in patients with liver cirrhosis and hepatocellular carcinoma</w:t>
      </w:r>
    </w:p>
    <w:p w:rsidR="00F40670" w:rsidRPr="007535A1" w:rsidRDefault="00F40670" w:rsidP="00F40670">
      <w:pPr>
        <w:bidi w:val="0"/>
        <w:spacing w:line="360" w:lineRule="auto"/>
        <w:rPr>
          <w:rFonts w:asciiTheme="majorBidi" w:hAnsiTheme="majorBidi" w:cstheme="majorBidi"/>
          <w:b/>
          <w:bCs/>
          <w:sz w:val="20"/>
          <w:szCs w:val="20"/>
          <w:lang w:bidi="ar-EG"/>
        </w:rPr>
      </w:pPr>
      <w:r w:rsidRPr="007535A1">
        <w:rPr>
          <w:rFonts w:asciiTheme="majorBidi" w:hAnsiTheme="majorBidi" w:cstheme="majorBidi"/>
          <w:b/>
          <w:bCs/>
          <w:sz w:val="20"/>
          <w:szCs w:val="20"/>
          <w:lang w:bidi="ar-EG"/>
        </w:rPr>
        <w:t>Gamal S. El Deeb (MD)</w:t>
      </w:r>
      <w:r>
        <w:rPr>
          <w:rFonts w:asciiTheme="majorBidi" w:hAnsiTheme="majorBidi" w:cstheme="majorBidi"/>
          <w:b/>
          <w:bCs/>
          <w:sz w:val="20"/>
          <w:szCs w:val="20"/>
          <w:vertAlign w:val="superscript"/>
          <w:lang w:bidi="ar-EG"/>
        </w:rPr>
        <w:t>1</w:t>
      </w:r>
      <w:r w:rsidRPr="007535A1">
        <w:rPr>
          <w:rFonts w:asciiTheme="majorBidi" w:hAnsiTheme="majorBidi" w:cstheme="majorBidi"/>
          <w:b/>
          <w:bCs/>
          <w:sz w:val="20"/>
          <w:szCs w:val="20"/>
          <w:lang w:bidi="ar-EG"/>
        </w:rPr>
        <w:t>, Mostafa A. Abd Elraheem (M.B.B.ch)</w:t>
      </w:r>
      <w:r w:rsidRPr="007535A1">
        <w:rPr>
          <w:rFonts w:asciiTheme="majorBidi" w:hAnsiTheme="majorBidi" w:cstheme="majorBidi"/>
          <w:b/>
          <w:bCs/>
          <w:sz w:val="20"/>
          <w:szCs w:val="20"/>
          <w:vertAlign w:val="superscript"/>
          <w:lang w:bidi="ar-EG"/>
        </w:rPr>
        <w:t xml:space="preserve"> </w:t>
      </w:r>
      <w:r>
        <w:rPr>
          <w:rFonts w:asciiTheme="majorBidi" w:hAnsiTheme="majorBidi" w:cstheme="majorBidi"/>
          <w:b/>
          <w:bCs/>
          <w:sz w:val="20"/>
          <w:szCs w:val="20"/>
          <w:vertAlign w:val="superscript"/>
          <w:lang w:bidi="ar-EG"/>
        </w:rPr>
        <w:t>3</w:t>
      </w:r>
      <w:r w:rsidRPr="007535A1">
        <w:rPr>
          <w:rFonts w:asciiTheme="majorBidi" w:hAnsiTheme="majorBidi" w:cstheme="majorBidi"/>
          <w:b/>
          <w:bCs/>
          <w:sz w:val="20"/>
          <w:szCs w:val="20"/>
          <w:lang w:bidi="ar-EG"/>
        </w:rPr>
        <w:t>, Sherin S. El-Naidany(MD)</w:t>
      </w:r>
      <w:r w:rsidRPr="007535A1">
        <w:rPr>
          <w:rFonts w:asciiTheme="majorBidi" w:hAnsiTheme="majorBidi" w:cstheme="majorBidi"/>
          <w:b/>
          <w:bCs/>
          <w:sz w:val="20"/>
          <w:szCs w:val="20"/>
          <w:vertAlign w:val="superscript"/>
          <w:lang w:bidi="ar-EG"/>
        </w:rPr>
        <w:t xml:space="preserve"> </w:t>
      </w:r>
      <w:r>
        <w:rPr>
          <w:rFonts w:asciiTheme="majorBidi" w:hAnsiTheme="majorBidi" w:cstheme="majorBidi"/>
          <w:b/>
          <w:bCs/>
          <w:sz w:val="20"/>
          <w:szCs w:val="20"/>
          <w:vertAlign w:val="superscript"/>
          <w:lang w:bidi="ar-EG"/>
        </w:rPr>
        <w:t>2</w:t>
      </w:r>
      <w:r w:rsidRPr="007535A1">
        <w:rPr>
          <w:rFonts w:asciiTheme="majorBidi" w:hAnsiTheme="majorBidi" w:cstheme="majorBidi"/>
          <w:b/>
          <w:bCs/>
          <w:sz w:val="20"/>
          <w:szCs w:val="20"/>
          <w:lang w:bidi="ar-EG"/>
        </w:rPr>
        <w:t>, Moamena S, Elhamouly(MD)</w:t>
      </w:r>
      <w:r w:rsidRPr="007535A1">
        <w:rPr>
          <w:rFonts w:asciiTheme="majorBidi" w:hAnsiTheme="majorBidi" w:cstheme="majorBidi"/>
          <w:b/>
          <w:bCs/>
          <w:sz w:val="20"/>
          <w:szCs w:val="20"/>
          <w:vertAlign w:val="superscript"/>
          <w:lang w:bidi="ar-EG"/>
        </w:rPr>
        <w:t xml:space="preserve"> </w:t>
      </w:r>
      <w:r>
        <w:rPr>
          <w:rFonts w:asciiTheme="majorBidi" w:hAnsiTheme="majorBidi" w:cstheme="majorBidi"/>
          <w:b/>
          <w:bCs/>
          <w:sz w:val="20"/>
          <w:szCs w:val="20"/>
          <w:vertAlign w:val="superscript"/>
          <w:lang w:bidi="ar-EG"/>
        </w:rPr>
        <w:t>1</w:t>
      </w:r>
    </w:p>
    <w:p w:rsidR="00F40670" w:rsidRPr="007535A1" w:rsidRDefault="00F40670" w:rsidP="00F40670">
      <w:pPr>
        <w:bidi w:val="0"/>
        <w:spacing w:line="360" w:lineRule="auto"/>
        <w:rPr>
          <w:rFonts w:asciiTheme="majorBidi" w:hAnsiTheme="majorBidi" w:cstheme="majorBidi"/>
          <w:noProof/>
          <w:sz w:val="20"/>
          <w:szCs w:val="20"/>
        </w:rPr>
      </w:pPr>
      <w:r>
        <w:rPr>
          <w:rFonts w:asciiTheme="majorBidi" w:hAnsiTheme="majorBidi" w:cstheme="majorBidi"/>
          <w:b/>
          <w:bCs/>
          <w:sz w:val="20"/>
          <w:szCs w:val="20"/>
          <w:vertAlign w:val="superscript"/>
          <w:lang w:bidi="ar-EG"/>
        </w:rPr>
        <w:t>1</w:t>
      </w:r>
      <w:r w:rsidRPr="007535A1">
        <w:rPr>
          <w:rFonts w:asciiTheme="majorBidi" w:hAnsiTheme="majorBidi" w:cstheme="majorBidi"/>
          <w:noProof/>
          <w:sz w:val="20"/>
          <w:szCs w:val="20"/>
        </w:rPr>
        <w:t>Tropical Medicine Department, Faculty of Medicine, Menoufia University,</w:t>
      </w:r>
      <w:r>
        <w:rPr>
          <w:rFonts w:asciiTheme="majorBidi" w:hAnsiTheme="majorBidi" w:cstheme="majorBidi"/>
          <w:noProof/>
          <w:sz w:val="20"/>
          <w:szCs w:val="20"/>
        </w:rPr>
        <w:t xml:space="preserve"> </w:t>
      </w:r>
      <w:r w:rsidRPr="007535A1">
        <w:rPr>
          <w:rFonts w:asciiTheme="majorBidi" w:hAnsiTheme="majorBidi" w:cstheme="majorBidi"/>
          <w:noProof/>
          <w:sz w:val="20"/>
          <w:szCs w:val="20"/>
        </w:rPr>
        <w:t>Egypt</w:t>
      </w:r>
      <w:r>
        <w:rPr>
          <w:rFonts w:asciiTheme="majorBidi" w:hAnsiTheme="majorBidi" w:cstheme="majorBidi"/>
          <w:noProof/>
          <w:sz w:val="20"/>
          <w:szCs w:val="20"/>
        </w:rPr>
        <w:t xml:space="preserve">. </w:t>
      </w:r>
      <w:r>
        <w:rPr>
          <w:rFonts w:asciiTheme="majorBidi" w:hAnsiTheme="majorBidi" w:cstheme="majorBidi"/>
          <w:b/>
          <w:bCs/>
          <w:sz w:val="20"/>
          <w:szCs w:val="20"/>
          <w:vertAlign w:val="superscript"/>
          <w:lang w:bidi="ar-EG"/>
        </w:rPr>
        <w:t>2</w:t>
      </w:r>
      <w:r w:rsidRPr="007535A1">
        <w:rPr>
          <w:rFonts w:asciiTheme="majorBidi" w:hAnsiTheme="majorBidi" w:cstheme="majorBidi"/>
          <w:noProof/>
          <w:sz w:val="20"/>
          <w:szCs w:val="20"/>
        </w:rPr>
        <w:t>Medical Biochemistary Department, Faculty of Medicine, Menoufia University,</w:t>
      </w:r>
      <w:r>
        <w:rPr>
          <w:rFonts w:asciiTheme="majorBidi" w:hAnsiTheme="majorBidi" w:cstheme="majorBidi"/>
          <w:noProof/>
          <w:sz w:val="20"/>
          <w:szCs w:val="20"/>
        </w:rPr>
        <w:t xml:space="preserve"> </w:t>
      </w:r>
      <w:r w:rsidRPr="007535A1">
        <w:rPr>
          <w:rFonts w:asciiTheme="majorBidi" w:hAnsiTheme="majorBidi" w:cstheme="majorBidi"/>
          <w:noProof/>
          <w:sz w:val="20"/>
          <w:szCs w:val="20"/>
        </w:rPr>
        <w:t>Egypt</w:t>
      </w:r>
      <w:r>
        <w:rPr>
          <w:rFonts w:asciiTheme="majorBidi" w:hAnsiTheme="majorBidi" w:cstheme="majorBidi"/>
          <w:noProof/>
          <w:sz w:val="20"/>
          <w:szCs w:val="20"/>
        </w:rPr>
        <w:t xml:space="preserve">. </w:t>
      </w:r>
      <w:r>
        <w:rPr>
          <w:rFonts w:asciiTheme="majorBidi" w:hAnsiTheme="majorBidi" w:cstheme="majorBidi"/>
          <w:b/>
          <w:bCs/>
          <w:sz w:val="20"/>
          <w:szCs w:val="20"/>
          <w:vertAlign w:val="superscript"/>
          <w:lang w:bidi="ar-EG"/>
        </w:rPr>
        <w:t>3</w:t>
      </w:r>
      <w:r>
        <w:rPr>
          <w:rFonts w:asciiTheme="majorBidi" w:hAnsiTheme="majorBidi" w:cstheme="majorBidi"/>
          <w:sz w:val="20"/>
          <w:szCs w:val="20"/>
        </w:rPr>
        <w:t>S</w:t>
      </w:r>
      <w:r w:rsidRPr="007535A1">
        <w:rPr>
          <w:rFonts w:asciiTheme="majorBidi" w:hAnsiTheme="majorBidi" w:cstheme="majorBidi"/>
          <w:sz w:val="20"/>
          <w:szCs w:val="20"/>
        </w:rPr>
        <w:t>ohag Center of Cardiac and Digestive System</w:t>
      </w:r>
      <w:r>
        <w:rPr>
          <w:rFonts w:asciiTheme="majorBidi" w:hAnsiTheme="majorBidi" w:cstheme="majorBidi"/>
          <w:sz w:val="20"/>
          <w:szCs w:val="20"/>
        </w:rPr>
        <w:t>, Sohag, Egypt</w:t>
      </w:r>
      <w:r>
        <w:rPr>
          <w:rFonts w:asciiTheme="majorBidi" w:hAnsiTheme="majorBidi" w:cstheme="majorBidi"/>
          <w:noProof/>
          <w:sz w:val="20"/>
          <w:szCs w:val="20"/>
        </w:rPr>
        <w:t>.</w:t>
      </w:r>
    </w:p>
    <w:p w:rsidR="00F40670" w:rsidRPr="00996A35" w:rsidRDefault="00F40670" w:rsidP="00F40670">
      <w:pPr>
        <w:jc w:val="right"/>
        <w:rPr>
          <w:rFonts w:asciiTheme="majorBidi" w:hAnsiTheme="majorBidi" w:cstheme="majorBidi"/>
          <w:b/>
          <w:bCs/>
          <w:sz w:val="24"/>
          <w:szCs w:val="24"/>
          <w:rtl/>
          <w:lang w:bidi="ar-EG"/>
        </w:rPr>
      </w:pPr>
      <w:r w:rsidRPr="00996A35">
        <w:rPr>
          <w:rFonts w:asciiTheme="majorBidi" w:hAnsiTheme="majorBidi" w:cstheme="majorBidi"/>
          <w:b/>
          <w:bCs/>
          <w:sz w:val="24"/>
          <w:szCs w:val="24"/>
        </w:rPr>
        <w:t>Abstract</w:t>
      </w:r>
    </w:p>
    <w:p w:rsidR="00F40670" w:rsidRPr="00996A35" w:rsidRDefault="00F40670" w:rsidP="00F40670">
      <w:pPr>
        <w:spacing w:line="360" w:lineRule="auto"/>
        <w:jc w:val="right"/>
        <w:rPr>
          <w:rFonts w:asciiTheme="majorBidi" w:hAnsiTheme="majorBidi" w:cstheme="majorBidi"/>
          <w:b/>
          <w:bCs/>
          <w:sz w:val="24"/>
          <w:szCs w:val="24"/>
        </w:rPr>
      </w:pPr>
      <w:r w:rsidRPr="00996A35">
        <w:rPr>
          <w:rFonts w:asciiTheme="majorBidi" w:hAnsiTheme="majorBidi" w:cstheme="majorBidi"/>
          <w:b/>
          <w:bCs/>
          <w:sz w:val="24"/>
          <w:szCs w:val="24"/>
        </w:rPr>
        <w:t>Background</w:t>
      </w:r>
      <w:r>
        <w:rPr>
          <w:rFonts w:asciiTheme="majorBidi" w:hAnsiTheme="majorBidi" w:cstheme="majorBidi"/>
          <w:b/>
          <w:bCs/>
          <w:sz w:val="24"/>
          <w:szCs w:val="24"/>
        </w:rPr>
        <w:t xml:space="preserve"> and study aims</w:t>
      </w:r>
      <w:r w:rsidRPr="00996A35">
        <w:rPr>
          <w:rFonts w:asciiTheme="majorBidi" w:hAnsiTheme="majorBidi" w:cstheme="majorBidi"/>
          <w:b/>
          <w:bCs/>
          <w:sz w:val="24"/>
          <w:szCs w:val="24"/>
        </w:rPr>
        <w:t>:</w:t>
      </w:r>
      <w:r w:rsidRPr="00F40670">
        <w:rPr>
          <w:rFonts w:asciiTheme="majorBidi" w:hAnsiTheme="majorBidi" w:cstheme="majorBidi"/>
          <w:sz w:val="24"/>
          <w:szCs w:val="24"/>
        </w:rPr>
        <w:t xml:space="preserve"> </w:t>
      </w:r>
      <w:r w:rsidRPr="00213C99">
        <w:rPr>
          <w:rFonts w:asciiTheme="majorBidi" w:hAnsiTheme="majorBidi" w:cstheme="majorBidi"/>
          <w:sz w:val="24"/>
          <w:szCs w:val="24"/>
        </w:rPr>
        <w:t xml:space="preserve">The aim of this study was to evaluate serum </w:t>
      </w:r>
      <w:r w:rsidRPr="00996A35">
        <w:rPr>
          <w:rFonts w:asciiTheme="majorBidi" w:hAnsiTheme="majorBidi" w:cstheme="majorBidi"/>
          <w:sz w:val="24"/>
          <w:szCs w:val="24"/>
        </w:rPr>
        <w:t>vitamin D</w:t>
      </w:r>
      <w:r>
        <w:rPr>
          <w:rFonts w:asciiTheme="majorBidi" w:hAnsiTheme="majorBidi" w:cstheme="majorBidi"/>
          <w:sz w:val="24"/>
          <w:szCs w:val="24"/>
        </w:rPr>
        <w:t xml:space="preserve"> level</w:t>
      </w:r>
      <w:r w:rsidRPr="00996A35">
        <w:rPr>
          <w:rFonts w:asciiTheme="majorBidi" w:hAnsiTheme="majorBidi" w:cstheme="majorBidi"/>
          <w:sz w:val="24"/>
          <w:szCs w:val="24"/>
        </w:rPr>
        <w:t xml:space="preserve"> in patients with liver cirrhosis and hepatocellular carcinoma</w:t>
      </w:r>
      <w:r w:rsidRPr="00213C99">
        <w:rPr>
          <w:rFonts w:asciiTheme="majorBidi" w:hAnsiTheme="majorBidi" w:cstheme="majorBidi"/>
          <w:sz w:val="24"/>
          <w:szCs w:val="24"/>
        </w:rPr>
        <w:t xml:space="preserve"> and to explore its</w:t>
      </w:r>
      <w:r>
        <w:rPr>
          <w:rFonts w:asciiTheme="majorBidi" w:hAnsiTheme="majorBidi" w:cstheme="majorBidi"/>
          <w:sz w:val="24"/>
          <w:szCs w:val="24"/>
        </w:rPr>
        <w:t xml:space="preserve"> deficiency</w:t>
      </w:r>
      <w:r w:rsidRPr="00213C99">
        <w:rPr>
          <w:rFonts w:asciiTheme="majorBidi" w:hAnsiTheme="majorBidi" w:cstheme="majorBidi"/>
          <w:sz w:val="24"/>
          <w:szCs w:val="24"/>
        </w:rPr>
        <w:t xml:space="preserve"> potential relations with portal hypertension, degree of liver dysfunction and</w:t>
      </w:r>
      <w:r>
        <w:rPr>
          <w:rFonts w:asciiTheme="majorBidi" w:hAnsiTheme="majorBidi" w:cstheme="majorBidi"/>
          <w:sz w:val="24"/>
          <w:szCs w:val="24"/>
        </w:rPr>
        <w:t xml:space="preserve"> risk of</w:t>
      </w:r>
      <w:r w:rsidRPr="00213C99">
        <w:rPr>
          <w:rFonts w:asciiTheme="majorBidi" w:hAnsiTheme="majorBidi" w:cstheme="majorBidi"/>
          <w:sz w:val="24"/>
          <w:szCs w:val="24"/>
        </w:rPr>
        <w:t xml:space="preserve"> infection</w:t>
      </w:r>
      <w:r>
        <w:rPr>
          <w:rFonts w:asciiTheme="majorBidi" w:hAnsiTheme="majorBidi" w:cstheme="majorBidi"/>
          <w:sz w:val="24"/>
          <w:szCs w:val="24"/>
        </w:rPr>
        <w:t xml:space="preserve"> occurrence</w:t>
      </w:r>
      <w:r w:rsidRPr="00213C99">
        <w:rPr>
          <w:rFonts w:asciiTheme="majorBidi" w:hAnsiTheme="majorBidi" w:cstheme="majorBidi"/>
          <w:sz w:val="24"/>
          <w:szCs w:val="24"/>
        </w:rPr>
        <w:t xml:space="preserve">. 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996A35">
        <w:rPr>
          <w:rFonts w:asciiTheme="majorBidi" w:hAnsiTheme="majorBidi" w:cstheme="majorBidi"/>
          <w:sz w:val="24"/>
          <w:szCs w:val="24"/>
        </w:rPr>
        <w:t>Vitamin D may have a direct effect on the liver since it is the main  synthesis site for vitamin D-binding protein and 25-hydroxy vitamin D.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996A35">
        <w:rPr>
          <w:rFonts w:asciiTheme="majorBidi" w:hAnsiTheme="majorBidi" w:cstheme="majorBidi"/>
          <w:sz w:val="24"/>
          <w:szCs w:val="24"/>
        </w:rPr>
        <w:t>Low vitamin D levels have been associated with increased hepatic fibrosis in patients with chronic liver disease, type 2 diabetes, and nonalcoholic fatty liver disease lead to HCC development.</w:t>
      </w:r>
    </w:p>
    <w:p w:rsidR="00F40670" w:rsidRPr="00FB2898" w:rsidRDefault="00F40670" w:rsidP="00F40670">
      <w:pPr>
        <w:autoSpaceDE w:val="0"/>
        <w:autoSpaceDN w:val="0"/>
        <w:adjustRightInd w:val="0"/>
        <w:spacing w:after="0" w:line="360" w:lineRule="auto"/>
        <w:jc w:val="right"/>
        <w:rPr>
          <w:rFonts w:asciiTheme="majorBidi" w:hAnsiTheme="majorBidi" w:cstheme="majorBidi"/>
          <w:sz w:val="24"/>
          <w:szCs w:val="24"/>
        </w:rPr>
      </w:pPr>
      <w:r w:rsidRPr="00996A35">
        <w:rPr>
          <w:rFonts w:asciiTheme="majorBidi" w:hAnsiTheme="majorBidi" w:cstheme="majorBidi"/>
          <w:b/>
          <w:bCs/>
          <w:sz w:val="24"/>
          <w:szCs w:val="24"/>
        </w:rPr>
        <w:t xml:space="preserve">Patients and methods: </w:t>
      </w:r>
      <w:r>
        <w:rPr>
          <w:rFonts w:asciiTheme="majorBidi" w:hAnsiTheme="majorBidi" w:cstheme="majorBidi"/>
          <w:sz w:val="24"/>
          <w:szCs w:val="24"/>
        </w:rPr>
        <w:t>In this</w:t>
      </w:r>
      <w:r w:rsidRPr="00996A35">
        <w:rPr>
          <w:rFonts w:asciiTheme="majorBidi" w:hAnsiTheme="majorBidi" w:cstheme="majorBidi"/>
          <w:sz w:val="24"/>
          <w:szCs w:val="24"/>
        </w:rPr>
        <w:t xml:space="preserve"> prospective</w:t>
      </w:r>
      <w:r>
        <w:rPr>
          <w:rFonts w:asciiTheme="majorBidi" w:hAnsiTheme="majorBidi" w:cstheme="majorBidi"/>
          <w:sz w:val="24"/>
          <w:szCs w:val="24"/>
        </w:rPr>
        <w:t xml:space="preserve"> case-control</w:t>
      </w:r>
      <w:r w:rsidRPr="00996A35">
        <w:rPr>
          <w:rFonts w:asciiTheme="majorBidi" w:hAnsiTheme="majorBidi" w:cstheme="majorBidi"/>
          <w:sz w:val="24"/>
          <w:szCs w:val="24"/>
        </w:rPr>
        <w:t xml:space="preserve"> study </w:t>
      </w:r>
      <w:r>
        <w:rPr>
          <w:rFonts w:asciiTheme="majorBidi" w:hAnsiTheme="majorBidi" w:cstheme="majorBidi"/>
          <w:sz w:val="24"/>
          <w:szCs w:val="24"/>
        </w:rPr>
        <w:t>we analyzed 70 patients</w:t>
      </w:r>
      <w:r w:rsidRPr="00FB2898">
        <w:rPr>
          <w:rFonts w:asciiTheme="majorBidi" w:hAnsiTheme="majorBidi" w:cstheme="majorBidi"/>
          <w:sz w:val="24"/>
          <w:szCs w:val="24"/>
        </w:rPr>
        <w:t xml:space="preserve"> who were diagnosed</w:t>
      </w:r>
      <w:r>
        <w:rPr>
          <w:rFonts w:asciiTheme="majorBidi" w:hAnsiTheme="majorBidi" w:cstheme="majorBidi"/>
          <w:sz w:val="24"/>
          <w:szCs w:val="24"/>
        </w:rPr>
        <w:t xml:space="preserve"> with liver cirrhosis (35 of them has hepatocellular carcinoma on top of liver cirrhosis) in addition to 20 healthy</w:t>
      </w:r>
      <w:r w:rsidRPr="0032624A">
        <w:rPr>
          <w:rFonts w:asciiTheme="majorBidi" w:hAnsiTheme="majorBidi" w:cstheme="majorBidi"/>
          <w:sz w:val="24"/>
          <w:szCs w:val="24"/>
        </w:rPr>
        <w:t xml:space="preserve"> </w:t>
      </w:r>
      <w:r w:rsidRPr="00996A35">
        <w:rPr>
          <w:rFonts w:asciiTheme="majorBidi" w:hAnsiTheme="majorBidi" w:cstheme="majorBidi"/>
          <w:sz w:val="24"/>
          <w:szCs w:val="24"/>
        </w:rPr>
        <w:t>volunteers, age- and sex-matched participants as control group.</w:t>
      </w:r>
      <w:r w:rsidRPr="00FB2898">
        <w:rPr>
          <w:rFonts w:asciiTheme="majorBidi" w:hAnsiTheme="majorBidi" w:cstheme="majorBidi"/>
          <w:sz w:val="24"/>
          <w:szCs w:val="24"/>
        </w:rPr>
        <w:t xml:space="preserve"> Serum Vitamin D level by ELISA was evaluate</w:t>
      </w:r>
      <w:r>
        <w:rPr>
          <w:rFonts w:asciiTheme="majorBidi" w:hAnsiTheme="majorBidi" w:cstheme="majorBidi"/>
          <w:sz w:val="24"/>
          <w:szCs w:val="24"/>
        </w:rPr>
        <w:t>d for all patients and controls.</w:t>
      </w:r>
    </w:p>
    <w:p w:rsidR="00F40670" w:rsidRPr="00C11EDA" w:rsidRDefault="00F40670" w:rsidP="00F40670">
      <w:pPr>
        <w:bidi w:val="0"/>
        <w:spacing w:line="360" w:lineRule="auto"/>
        <w:jc w:val="both"/>
        <w:rPr>
          <w:rFonts w:asciiTheme="majorBidi" w:hAnsiTheme="majorBidi" w:cstheme="majorBidi"/>
          <w:sz w:val="24"/>
          <w:szCs w:val="24"/>
        </w:rPr>
      </w:pPr>
      <w:r w:rsidRPr="00996A35">
        <w:rPr>
          <w:rFonts w:asciiTheme="majorBidi" w:hAnsiTheme="majorBidi" w:cstheme="majorBidi"/>
          <w:b/>
          <w:bCs/>
          <w:sz w:val="24"/>
          <w:szCs w:val="24"/>
        </w:rPr>
        <w:t>Results:</w:t>
      </w:r>
      <w:r w:rsidRPr="00D15F0A">
        <w:rPr>
          <w:sz w:val="14"/>
          <w:szCs w:val="14"/>
        </w:rPr>
        <w:t xml:space="preserve"> </w:t>
      </w:r>
      <w:r w:rsidRPr="00D15F0A">
        <w:rPr>
          <w:rFonts w:asciiTheme="majorBidi" w:hAnsiTheme="majorBidi" w:cstheme="majorBidi"/>
          <w:sz w:val="24"/>
          <w:szCs w:val="24"/>
        </w:rPr>
        <w:t xml:space="preserve">Vitamin D deficiency (&lt;20 ng/mL) was diagnosed in </w:t>
      </w:r>
      <w:r>
        <w:rPr>
          <w:rFonts w:asciiTheme="majorBidi" w:hAnsiTheme="majorBidi" w:cstheme="majorBidi"/>
          <w:sz w:val="24"/>
          <w:szCs w:val="24"/>
        </w:rPr>
        <w:t>all liver cirrhotic</w:t>
      </w:r>
      <w:r w:rsidRPr="00D15F0A">
        <w:rPr>
          <w:rFonts w:asciiTheme="majorBidi" w:hAnsiTheme="majorBidi" w:cstheme="majorBidi"/>
          <w:sz w:val="24"/>
          <w:szCs w:val="24"/>
        </w:rPr>
        <w:t xml:space="preserve"> patients, and a total of </w:t>
      </w:r>
      <w:r>
        <w:rPr>
          <w:rFonts w:asciiTheme="majorBidi" w:hAnsiTheme="majorBidi" w:cstheme="majorBidi"/>
          <w:sz w:val="24"/>
          <w:szCs w:val="24"/>
        </w:rPr>
        <w:t>61 (87.1%)</w:t>
      </w:r>
      <w:r w:rsidRPr="00D15F0A">
        <w:rPr>
          <w:rFonts w:asciiTheme="majorBidi" w:hAnsiTheme="majorBidi" w:cstheme="majorBidi"/>
          <w:sz w:val="24"/>
          <w:szCs w:val="24"/>
        </w:rPr>
        <w:t xml:space="preserve"> infections were detected. </w:t>
      </w:r>
      <w:r>
        <w:rPr>
          <w:rFonts w:asciiTheme="majorBidi" w:hAnsiTheme="majorBidi" w:cstheme="majorBidi"/>
          <w:sz w:val="24"/>
          <w:szCs w:val="24"/>
        </w:rPr>
        <w:t>Spontaneous bacterial peritonitis</w:t>
      </w:r>
      <w:r w:rsidRPr="00D15F0A">
        <w:rPr>
          <w:rFonts w:asciiTheme="majorBidi" w:hAnsiTheme="majorBidi" w:cstheme="majorBidi"/>
          <w:sz w:val="24"/>
          <w:szCs w:val="24"/>
        </w:rPr>
        <w:t xml:space="preserve"> were the most common infections diagnosed (4</w:t>
      </w:r>
      <w:r>
        <w:rPr>
          <w:rFonts w:asciiTheme="majorBidi" w:hAnsiTheme="majorBidi" w:cstheme="majorBidi"/>
          <w:sz w:val="24"/>
          <w:szCs w:val="24"/>
        </w:rPr>
        <w:t>7</w:t>
      </w:r>
      <w:r w:rsidRPr="00D15F0A">
        <w:rPr>
          <w:rFonts w:asciiTheme="majorBidi" w:hAnsiTheme="majorBidi" w:cstheme="majorBidi"/>
          <w:sz w:val="24"/>
          <w:szCs w:val="24"/>
        </w:rPr>
        <w:t>.</w:t>
      </w:r>
      <w:r>
        <w:rPr>
          <w:rFonts w:asciiTheme="majorBidi" w:hAnsiTheme="majorBidi" w:cstheme="majorBidi"/>
          <w:sz w:val="24"/>
          <w:szCs w:val="24"/>
        </w:rPr>
        <w:t>1</w:t>
      </w:r>
      <w:r w:rsidRPr="00D15F0A">
        <w:rPr>
          <w:rFonts w:asciiTheme="majorBidi" w:hAnsiTheme="majorBidi" w:cstheme="majorBidi"/>
          <w:sz w:val="24"/>
          <w:szCs w:val="24"/>
        </w:rPr>
        <w:t>%). Vitamin D deficiency rates were higher in patients with cirrhosis</w:t>
      </w:r>
      <w:r>
        <w:rPr>
          <w:rFonts w:asciiTheme="majorBidi" w:hAnsiTheme="majorBidi" w:cstheme="majorBidi"/>
          <w:sz w:val="24"/>
          <w:szCs w:val="24"/>
        </w:rPr>
        <w:t xml:space="preserve"> vs control</w:t>
      </w:r>
      <w:r w:rsidRPr="00D15F0A">
        <w:rPr>
          <w:rFonts w:asciiTheme="majorBidi" w:hAnsiTheme="majorBidi" w:cstheme="majorBidi"/>
          <w:sz w:val="24"/>
          <w:szCs w:val="24"/>
        </w:rPr>
        <w:t xml:space="preserve"> (</w:t>
      </w:r>
      <w:r w:rsidRPr="00C11EDA">
        <w:rPr>
          <w:rFonts w:asciiTheme="majorBidi" w:hAnsiTheme="majorBidi" w:cstheme="majorBidi"/>
          <w:sz w:val="24"/>
          <w:szCs w:val="24"/>
        </w:rPr>
        <w:t>6.09 ± 2.72</w:t>
      </w:r>
      <w:r>
        <w:rPr>
          <w:rFonts w:asciiTheme="majorBidi" w:hAnsiTheme="majorBidi" w:cstheme="majorBidi"/>
          <w:sz w:val="24"/>
          <w:szCs w:val="24"/>
        </w:rPr>
        <w:t xml:space="preserve"> vs</w:t>
      </w:r>
      <w:r w:rsidRPr="00C11EDA">
        <w:rPr>
          <w:rFonts w:asciiTheme="majorBidi" w:hAnsiTheme="majorBidi" w:cstheme="majorBidi"/>
          <w:sz w:val="24"/>
          <w:szCs w:val="24"/>
        </w:rPr>
        <w:t xml:space="preserve"> 34.20 ± 8.11</w:t>
      </w:r>
      <w:r w:rsidRPr="00D15F0A">
        <w:rPr>
          <w:rFonts w:asciiTheme="majorBidi" w:hAnsiTheme="majorBidi" w:cstheme="majorBidi"/>
          <w:sz w:val="24"/>
          <w:szCs w:val="24"/>
        </w:rPr>
        <w:t>)</w:t>
      </w:r>
      <w:r>
        <w:rPr>
          <w:rFonts w:asciiTheme="majorBidi" w:hAnsiTheme="majorBidi" w:cstheme="majorBidi"/>
          <w:sz w:val="24"/>
          <w:szCs w:val="24"/>
        </w:rPr>
        <w:t xml:space="preserve"> and HCC vs control (</w:t>
      </w:r>
      <w:r w:rsidRPr="00C11EDA">
        <w:rPr>
          <w:rFonts w:asciiTheme="majorBidi" w:hAnsiTheme="majorBidi" w:cstheme="majorBidi"/>
          <w:sz w:val="24"/>
          <w:szCs w:val="24"/>
        </w:rPr>
        <w:t>4.54 ± 1.38</w:t>
      </w:r>
      <w:r>
        <w:rPr>
          <w:rFonts w:asciiTheme="majorBidi" w:hAnsiTheme="majorBidi" w:cstheme="majorBidi"/>
          <w:sz w:val="24"/>
          <w:szCs w:val="24"/>
        </w:rPr>
        <w:t xml:space="preserve"> vs </w:t>
      </w:r>
      <w:r w:rsidRPr="00C11EDA">
        <w:rPr>
          <w:rFonts w:asciiTheme="majorBidi" w:hAnsiTheme="majorBidi" w:cstheme="majorBidi"/>
          <w:sz w:val="24"/>
          <w:szCs w:val="24"/>
        </w:rPr>
        <w:t>34.20 ± 8.11)</w:t>
      </w:r>
      <w:r w:rsidRPr="00D15F0A">
        <w:rPr>
          <w:rFonts w:asciiTheme="majorBidi" w:hAnsiTheme="majorBidi" w:cstheme="majorBidi"/>
          <w:sz w:val="24"/>
          <w:szCs w:val="24"/>
        </w:rPr>
        <w:t xml:space="preserve">. </w:t>
      </w:r>
      <w:r>
        <w:rPr>
          <w:rFonts w:asciiTheme="majorBidi" w:hAnsiTheme="majorBidi" w:cstheme="majorBidi"/>
          <w:sz w:val="24"/>
          <w:szCs w:val="24"/>
        </w:rPr>
        <w:t>After upper endoscopy v</w:t>
      </w:r>
      <w:r w:rsidRPr="00D15F0A">
        <w:rPr>
          <w:rFonts w:asciiTheme="majorBidi" w:hAnsiTheme="majorBidi" w:cstheme="majorBidi"/>
          <w:sz w:val="24"/>
          <w:szCs w:val="24"/>
        </w:rPr>
        <w:t xml:space="preserve">itamin D deficiency rates were higher in patients with </w:t>
      </w:r>
      <w:r>
        <w:rPr>
          <w:rFonts w:asciiTheme="majorBidi" w:hAnsiTheme="majorBidi" w:cstheme="majorBidi"/>
          <w:sz w:val="24"/>
          <w:szCs w:val="24"/>
        </w:rPr>
        <w:t>OV grade III &amp;VI vs grade I&amp;II (</w:t>
      </w:r>
      <w:r w:rsidRPr="00C11EDA">
        <w:rPr>
          <w:rFonts w:asciiTheme="majorBidi" w:hAnsiTheme="majorBidi" w:cstheme="majorBidi"/>
          <w:sz w:val="24"/>
          <w:szCs w:val="24"/>
        </w:rPr>
        <w:t>4.99 ± 1.14&amp;6.54 ± 2.55 vs 7.51 ± 2.11&amp;7.21 ± 1.81)</w:t>
      </w:r>
      <w:r>
        <w:rPr>
          <w:rFonts w:asciiTheme="majorBidi" w:hAnsiTheme="majorBidi" w:cstheme="majorBidi"/>
          <w:sz w:val="24"/>
          <w:szCs w:val="24"/>
        </w:rPr>
        <w:t xml:space="preserve">. </w:t>
      </w:r>
      <w:r>
        <w:rPr>
          <w:rFonts w:asciiTheme="majorBidi" w:hAnsiTheme="majorBidi" w:cstheme="majorBidi"/>
          <w:sz w:val="24"/>
          <w:szCs w:val="24"/>
        </w:rPr>
        <w:lastRenderedPageBreak/>
        <w:t>Age</w:t>
      </w:r>
      <w:r w:rsidRPr="00D15F0A">
        <w:rPr>
          <w:rFonts w:asciiTheme="majorBidi" w:hAnsiTheme="majorBidi" w:cstheme="majorBidi"/>
          <w:sz w:val="24"/>
          <w:szCs w:val="24"/>
        </w:rPr>
        <w:t xml:space="preserve"> was significantly associated with vitamin D deficiency (p &lt; </w:t>
      </w:r>
      <w:r w:rsidRPr="00C11EDA">
        <w:rPr>
          <w:rFonts w:asciiTheme="majorBidi" w:hAnsiTheme="majorBidi" w:cstheme="majorBidi"/>
          <w:sz w:val="24"/>
          <w:szCs w:val="24"/>
        </w:rPr>
        <w:t>0.01</w:t>
      </w:r>
      <w:r>
        <w:rPr>
          <w:rFonts w:asciiTheme="majorBidi" w:hAnsiTheme="majorBidi" w:cstheme="majorBidi"/>
          <w:sz w:val="24"/>
          <w:szCs w:val="24"/>
        </w:rPr>
        <w:t>, r= -0.33</w:t>
      </w:r>
      <w:r w:rsidRPr="00D15F0A">
        <w:rPr>
          <w:rFonts w:asciiTheme="majorBidi" w:hAnsiTheme="majorBidi" w:cstheme="majorBidi"/>
          <w:sz w:val="24"/>
          <w:szCs w:val="24"/>
        </w:rPr>
        <w:t xml:space="preserve">), MELD score </w:t>
      </w:r>
      <w:r>
        <w:rPr>
          <w:rFonts w:asciiTheme="majorBidi" w:hAnsiTheme="majorBidi" w:cstheme="majorBidi"/>
          <w:sz w:val="24"/>
          <w:szCs w:val="24"/>
        </w:rPr>
        <w:t>(p = 0.0</w:t>
      </w:r>
      <w:r w:rsidRPr="00D15F0A">
        <w:rPr>
          <w:rFonts w:asciiTheme="majorBidi" w:hAnsiTheme="majorBidi" w:cstheme="majorBidi"/>
          <w:sz w:val="24"/>
          <w:szCs w:val="24"/>
        </w:rPr>
        <w:t>3</w:t>
      </w:r>
      <w:r>
        <w:rPr>
          <w:rFonts w:asciiTheme="majorBidi" w:hAnsiTheme="majorBidi" w:cstheme="majorBidi"/>
          <w:sz w:val="24"/>
          <w:szCs w:val="24"/>
        </w:rPr>
        <w:t>,r = -0.25), Child score (p=0.04,r=-0.22</w:t>
      </w:r>
      <w:r w:rsidRPr="00D15F0A">
        <w:rPr>
          <w:rFonts w:asciiTheme="majorBidi" w:hAnsiTheme="majorBidi" w:cstheme="majorBidi"/>
          <w:sz w:val="24"/>
          <w:szCs w:val="24"/>
        </w:rPr>
        <w:t xml:space="preserve">), and </w:t>
      </w:r>
      <w:r>
        <w:rPr>
          <w:rFonts w:asciiTheme="majorBidi" w:hAnsiTheme="majorBidi" w:cstheme="majorBidi"/>
          <w:sz w:val="24"/>
          <w:szCs w:val="24"/>
        </w:rPr>
        <w:t>APRI</w:t>
      </w:r>
      <w:r w:rsidRPr="00D15F0A">
        <w:rPr>
          <w:rFonts w:asciiTheme="majorBidi" w:hAnsiTheme="majorBidi" w:cstheme="majorBidi"/>
          <w:sz w:val="24"/>
          <w:szCs w:val="24"/>
        </w:rPr>
        <w:t xml:space="preserve"> (p &lt; </w:t>
      </w:r>
      <w:r>
        <w:rPr>
          <w:rFonts w:asciiTheme="majorBidi" w:hAnsiTheme="majorBidi" w:cstheme="majorBidi"/>
          <w:sz w:val="24"/>
          <w:szCs w:val="24"/>
        </w:rPr>
        <w:t>0.0</w:t>
      </w:r>
      <w:r w:rsidRPr="00D15F0A">
        <w:rPr>
          <w:rFonts w:asciiTheme="majorBidi" w:hAnsiTheme="majorBidi" w:cstheme="majorBidi"/>
          <w:sz w:val="24"/>
          <w:szCs w:val="24"/>
        </w:rPr>
        <w:t>1</w:t>
      </w:r>
      <w:r>
        <w:rPr>
          <w:rFonts w:asciiTheme="majorBidi" w:hAnsiTheme="majorBidi" w:cstheme="majorBidi"/>
          <w:sz w:val="24"/>
          <w:szCs w:val="24"/>
        </w:rPr>
        <w:t>,r=-0.31</w:t>
      </w:r>
      <w:r w:rsidRPr="00D15F0A">
        <w:rPr>
          <w:rFonts w:asciiTheme="majorBidi" w:hAnsiTheme="majorBidi" w:cstheme="majorBidi"/>
          <w:sz w:val="24"/>
          <w:szCs w:val="24"/>
        </w:rPr>
        <w:t>)</w:t>
      </w:r>
      <w:r>
        <w:rPr>
          <w:rFonts w:asciiTheme="majorBidi" w:hAnsiTheme="majorBidi" w:cstheme="majorBidi"/>
          <w:sz w:val="24"/>
          <w:szCs w:val="24"/>
        </w:rPr>
        <w:t xml:space="preserve"> and FIB-4 (p=0.03,r=-0.22)</w:t>
      </w:r>
      <w:r w:rsidRPr="00D15F0A">
        <w:rPr>
          <w:rFonts w:asciiTheme="majorBidi" w:hAnsiTheme="majorBidi" w:cstheme="majorBidi"/>
          <w:sz w:val="24"/>
          <w:szCs w:val="24"/>
        </w:rPr>
        <w:t>. At multivariate analysis, vitamin D deficiency</w:t>
      </w:r>
      <w:r w:rsidRPr="00C11EDA">
        <w:rPr>
          <w:rFonts w:asciiTheme="majorBidi" w:hAnsiTheme="majorBidi" w:cstheme="majorBidi"/>
          <w:sz w:val="24"/>
          <w:szCs w:val="24"/>
        </w:rPr>
        <w:t xml:space="preserve"> (&lt;</w:t>
      </w:r>
      <w:r>
        <w:rPr>
          <w:rFonts w:asciiTheme="majorBidi" w:hAnsiTheme="majorBidi" w:cstheme="majorBidi"/>
          <w:sz w:val="24"/>
          <w:szCs w:val="24"/>
        </w:rPr>
        <w:t>10</w:t>
      </w:r>
      <w:r w:rsidR="00CF7C9C">
        <w:rPr>
          <w:rFonts w:asciiTheme="majorBidi" w:hAnsiTheme="majorBidi" w:cstheme="majorBidi"/>
          <w:sz w:val="24"/>
          <w:szCs w:val="24"/>
        </w:rPr>
        <w:t xml:space="preserve"> </w:t>
      </w:r>
      <w:r>
        <w:rPr>
          <w:rFonts w:asciiTheme="majorBidi" w:hAnsiTheme="majorBidi" w:cstheme="majorBidi"/>
          <w:sz w:val="24"/>
          <w:szCs w:val="24"/>
        </w:rPr>
        <w:t>ng/dl)</w:t>
      </w:r>
      <w:r w:rsidRPr="00D15F0A">
        <w:rPr>
          <w:rFonts w:asciiTheme="majorBidi" w:hAnsiTheme="majorBidi" w:cstheme="majorBidi"/>
          <w:sz w:val="24"/>
          <w:szCs w:val="24"/>
        </w:rPr>
        <w:t xml:space="preserve"> (p &lt; 0.01), </w:t>
      </w:r>
      <w:r>
        <w:rPr>
          <w:rFonts w:asciiTheme="majorBidi" w:hAnsiTheme="majorBidi" w:cstheme="majorBidi"/>
          <w:sz w:val="24"/>
          <w:szCs w:val="24"/>
        </w:rPr>
        <w:t>old age (</w:t>
      </w:r>
      <w:r w:rsidRPr="00C11EDA">
        <w:rPr>
          <w:rFonts w:asciiTheme="majorBidi" w:hAnsiTheme="majorBidi" w:cstheme="majorBidi"/>
          <w:sz w:val="24"/>
          <w:szCs w:val="24"/>
        </w:rPr>
        <w:t>˃</w:t>
      </w:r>
      <w:r>
        <w:rPr>
          <w:rFonts w:asciiTheme="majorBidi" w:hAnsiTheme="majorBidi" w:cstheme="majorBidi"/>
          <w:sz w:val="24"/>
          <w:szCs w:val="24"/>
        </w:rPr>
        <w:t>40y)</w:t>
      </w:r>
      <w:r w:rsidRPr="00D15F0A">
        <w:rPr>
          <w:rFonts w:asciiTheme="majorBidi" w:hAnsiTheme="majorBidi" w:cstheme="majorBidi"/>
          <w:sz w:val="24"/>
          <w:szCs w:val="24"/>
        </w:rPr>
        <w:t xml:space="preserve"> (p </w:t>
      </w:r>
      <w:r>
        <w:rPr>
          <w:rFonts w:asciiTheme="majorBidi" w:hAnsiTheme="majorBidi" w:cstheme="majorBidi"/>
          <w:sz w:val="24"/>
          <w:szCs w:val="24"/>
        </w:rPr>
        <w:t>=0.03</w:t>
      </w:r>
      <w:r w:rsidRPr="00D15F0A">
        <w:rPr>
          <w:rFonts w:asciiTheme="majorBidi" w:hAnsiTheme="majorBidi" w:cstheme="majorBidi"/>
          <w:sz w:val="24"/>
          <w:szCs w:val="24"/>
        </w:rPr>
        <w:t xml:space="preserve">) and </w:t>
      </w:r>
      <w:r>
        <w:rPr>
          <w:rFonts w:asciiTheme="majorBidi" w:hAnsiTheme="majorBidi" w:cstheme="majorBidi"/>
          <w:sz w:val="24"/>
          <w:szCs w:val="24"/>
        </w:rPr>
        <w:t>male sex</w:t>
      </w:r>
      <w:r w:rsidRPr="00D15F0A">
        <w:rPr>
          <w:rFonts w:asciiTheme="majorBidi" w:hAnsiTheme="majorBidi" w:cstheme="majorBidi"/>
          <w:sz w:val="24"/>
          <w:szCs w:val="24"/>
        </w:rPr>
        <w:t xml:space="preserve"> (p </w:t>
      </w:r>
      <w:r>
        <w:rPr>
          <w:rFonts w:asciiTheme="majorBidi" w:hAnsiTheme="majorBidi" w:cstheme="majorBidi"/>
          <w:sz w:val="24"/>
          <w:szCs w:val="24"/>
        </w:rPr>
        <w:t>=0.99</w:t>
      </w:r>
      <w:r w:rsidRPr="00D15F0A">
        <w:rPr>
          <w:rFonts w:asciiTheme="majorBidi" w:hAnsiTheme="majorBidi" w:cstheme="majorBidi"/>
          <w:sz w:val="24"/>
          <w:szCs w:val="24"/>
        </w:rPr>
        <w:t>) were independent risk factors for</w:t>
      </w:r>
      <w:r w:rsidRPr="00D752D9">
        <w:rPr>
          <w:rFonts w:asciiTheme="majorBidi" w:hAnsiTheme="majorBidi" w:cstheme="majorBidi"/>
          <w:sz w:val="24"/>
          <w:szCs w:val="24"/>
        </w:rPr>
        <w:t xml:space="preserve"> </w:t>
      </w:r>
      <w:r>
        <w:rPr>
          <w:rFonts w:asciiTheme="majorBidi" w:hAnsiTheme="majorBidi" w:cstheme="majorBidi"/>
          <w:sz w:val="24"/>
          <w:szCs w:val="24"/>
        </w:rPr>
        <w:t>prediction of HCC</w:t>
      </w:r>
      <w:r w:rsidRPr="00D15F0A">
        <w:rPr>
          <w:rFonts w:asciiTheme="majorBidi" w:hAnsiTheme="majorBidi" w:cstheme="majorBidi"/>
          <w:sz w:val="24"/>
          <w:szCs w:val="24"/>
        </w:rPr>
        <w:t>.</w:t>
      </w:r>
      <w:r w:rsidRPr="00C11EDA">
        <w:rPr>
          <w:rFonts w:asciiTheme="majorBidi" w:hAnsiTheme="majorBidi" w:cstheme="majorBidi"/>
          <w:sz w:val="24"/>
          <w:szCs w:val="24"/>
        </w:rPr>
        <w:t xml:space="preserve"> </w:t>
      </w:r>
      <w:r>
        <w:rPr>
          <w:rFonts w:asciiTheme="majorBidi" w:hAnsiTheme="majorBidi" w:cstheme="majorBidi"/>
          <w:sz w:val="24"/>
          <w:szCs w:val="24"/>
        </w:rPr>
        <w:t xml:space="preserve"> </w:t>
      </w:r>
    </w:p>
    <w:p w:rsidR="00F40670" w:rsidRPr="00C11EDA" w:rsidRDefault="00F40670" w:rsidP="00F40670">
      <w:pPr>
        <w:autoSpaceDE w:val="0"/>
        <w:autoSpaceDN w:val="0"/>
        <w:bidi w:val="0"/>
        <w:adjustRightInd w:val="0"/>
        <w:spacing w:after="0" w:line="360" w:lineRule="auto"/>
        <w:jc w:val="both"/>
        <w:rPr>
          <w:rFonts w:asciiTheme="majorBidi" w:hAnsiTheme="majorBidi" w:cstheme="majorBidi"/>
          <w:sz w:val="24"/>
          <w:szCs w:val="24"/>
        </w:rPr>
      </w:pPr>
      <w:r w:rsidRPr="00996A35">
        <w:rPr>
          <w:rFonts w:asciiTheme="majorBidi" w:hAnsiTheme="majorBidi" w:cstheme="majorBidi"/>
          <w:b/>
          <w:bCs/>
          <w:sz w:val="24"/>
          <w:szCs w:val="24"/>
        </w:rPr>
        <w:t xml:space="preserve">Conclusion: </w:t>
      </w:r>
      <w:r>
        <w:rPr>
          <w:rFonts w:asciiTheme="majorBidi" w:hAnsiTheme="majorBidi" w:cstheme="majorBidi"/>
          <w:sz w:val="24"/>
          <w:szCs w:val="24"/>
        </w:rPr>
        <w:t>V</w:t>
      </w:r>
      <w:r w:rsidRPr="00CE0718">
        <w:rPr>
          <w:rFonts w:asciiTheme="majorBidi" w:hAnsiTheme="majorBidi" w:cstheme="majorBidi"/>
          <w:sz w:val="24"/>
          <w:szCs w:val="24"/>
        </w:rPr>
        <w:t xml:space="preserve">itamin D deficiency was associated with more complications in the form of portal hypertension </w:t>
      </w:r>
      <w:r>
        <w:rPr>
          <w:rFonts w:asciiTheme="majorBidi" w:hAnsiTheme="majorBidi" w:cstheme="majorBidi"/>
          <w:sz w:val="24"/>
          <w:szCs w:val="24"/>
        </w:rPr>
        <w:t xml:space="preserve">and </w:t>
      </w:r>
      <w:r w:rsidRPr="00CE0718">
        <w:rPr>
          <w:rFonts w:asciiTheme="majorBidi" w:hAnsiTheme="majorBidi" w:cstheme="majorBidi"/>
          <w:sz w:val="24"/>
          <w:szCs w:val="24"/>
        </w:rPr>
        <w:t>GIT bleeding.</w:t>
      </w:r>
      <w:r w:rsidRPr="00C11EDA">
        <w:rPr>
          <w:rFonts w:asciiTheme="majorBidi" w:hAnsiTheme="majorBidi" w:cstheme="majorBidi"/>
          <w:sz w:val="24"/>
          <w:szCs w:val="24"/>
        </w:rPr>
        <w:t xml:space="preserve"> Baseline vitamin D levels were inversely associated with liver-cirrhosis related systemic infections and the risk of </w:t>
      </w:r>
      <w:r>
        <w:rPr>
          <w:rFonts w:asciiTheme="majorBidi" w:hAnsiTheme="majorBidi" w:cstheme="majorBidi"/>
          <w:sz w:val="24"/>
          <w:szCs w:val="24"/>
        </w:rPr>
        <w:t>HCC</w:t>
      </w:r>
      <w:r w:rsidRPr="00C11EDA">
        <w:rPr>
          <w:rFonts w:asciiTheme="majorBidi" w:hAnsiTheme="majorBidi" w:cstheme="majorBidi"/>
          <w:sz w:val="24"/>
          <w:szCs w:val="24"/>
        </w:rPr>
        <w:t>.</w:t>
      </w:r>
    </w:p>
    <w:p w:rsidR="00F40670" w:rsidRDefault="00F40670" w:rsidP="00F40670">
      <w:pPr>
        <w:jc w:val="right"/>
        <w:rPr>
          <w:b/>
        </w:rPr>
      </w:pPr>
      <w:r>
        <w:rPr>
          <w:b/>
        </w:rPr>
        <w:t>Biography</w:t>
      </w:r>
    </w:p>
    <w:p w:rsidR="00F40670" w:rsidRPr="00F22019" w:rsidRDefault="00F40670" w:rsidP="00F40670">
      <w:pPr>
        <w:jc w:val="right"/>
      </w:pPr>
      <w:r>
        <w:t xml:space="preserve">Moamena S Elhamouly has completed MD </w:t>
      </w:r>
      <w:r w:rsidRPr="00F22019">
        <w:t xml:space="preserve">at the age of </w:t>
      </w:r>
      <w:r>
        <w:t>34</w:t>
      </w:r>
      <w:r w:rsidRPr="00F22019">
        <w:t xml:space="preserve"> years</w:t>
      </w:r>
      <w:r>
        <w:t xml:space="preserve"> from </w:t>
      </w:r>
      <w:r w:rsidRPr="00A13A37">
        <w:rPr>
          <w:rFonts w:eastAsia="MS PGothic" w:hAnsi="Arial"/>
          <w:color w:val="000000"/>
        </w:rPr>
        <w:t>Faculty of Medicine - Menoufia University</w:t>
      </w:r>
      <w:r>
        <w:t xml:space="preserve">. She worked as assistant professor </w:t>
      </w:r>
      <w:r w:rsidRPr="00F22019">
        <w:t>of Tropical Medicine</w:t>
      </w:r>
      <w:r>
        <w:t xml:space="preserve">, </w:t>
      </w:r>
      <w:r w:rsidRPr="00F22019">
        <w:t>Faculty of Medicine - Menoufia University- Egypt</w:t>
      </w:r>
      <w:r>
        <w:t xml:space="preserve"> science 2020. She </w:t>
      </w:r>
      <w:r w:rsidRPr="00F22019">
        <w:t xml:space="preserve">has published </w:t>
      </w:r>
      <w:r>
        <w:t>10 papers and 3</w:t>
      </w:r>
      <w:r w:rsidRPr="00F22019">
        <w:t xml:space="preserve"> papers</w:t>
      </w:r>
      <w:r>
        <w:t xml:space="preserve"> accepted</w:t>
      </w:r>
      <w:r w:rsidRPr="00F22019">
        <w:t xml:space="preserve"> in reputed journals</w:t>
      </w:r>
    </w:p>
    <w:p w:rsidR="00F40670" w:rsidRPr="00E268F1" w:rsidRDefault="00F40670" w:rsidP="00F40670">
      <w:pPr>
        <w:autoSpaceDE w:val="0"/>
        <w:autoSpaceDN w:val="0"/>
        <w:bidi w:val="0"/>
        <w:adjustRightInd w:val="0"/>
        <w:spacing w:after="0" w:line="240" w:lineRule="auto"/>
        <w:rPr>
          <w:rFonts w:ascii="STIX-Regular" w:cs="STIX-Regular"/>
          <w:sz w:val="20"/>
          <w:szCs w:val="20"/>
        </w:rPr>
      </w:pPr>
      <w:r w:rsidRPr="008A690F">
        <w:rPr>
          <w:b/>
          <w:lang w:val="en-NZ"/>
        </w:rPr>
        <w:t>Presenting author details</w:t>
      </w:r>
      <w:r w:rsidRPr="008A690F">
        <w:rPr>
          <w:b/>
          <w:lang w:val="en-NZ"/>
        </w:rPr>
        <w:br/>
      </w:r>
      <w:r w:rsidRPr="008A690F">
        <w:rPr>
          <w:lang w:val="en-NZ"/>
        </w:rPr>
        <w:t>Full name</w:t>
      </w:r>
      <w:r>
        <w:t xml:space="preserve">: </w:t>
      </w:r>
      <w:r>
        <w:rPr>
          <w:lang w:val="en-NZ"/>
        </w:rPr>
        <w:t xml:space="preserve">Moamena Said Elhamouly ,  </w:t>
      </w:r>
      <w:r w:rsidRPr="008A690F">
        <w:rPr>
          <w:lang w:val="en-NZ"/>
        </w:rPr>
        <w:t>Contact number:</w:t>
      </w:r>
      <w:r>
        <w:rPr>
          <w:lang w:val="en-NZ"/>
        </w:rPr>
        <w:t>00201003994530</w:t>
      </w:r>
      <w:r>
        <w:rPr>
          <w:rFonts w:ascii="STIX-Regular" w:cs="STIX-Regular"/>
          <w:sz w:val="17"/>
          <w:szCs w:val="17"/>
        </w:rPr>
        <w:t xml:space="preserve"> </w:t>
      </w:r>
      <w:hyperlink r:id="rId5" w:history="1">
        <w:r w:rsidRPr="00CB21DA">
          <w:rPr>
            <w:rStyle w:val="Hyperlink"/>
            <w:rFonts w:ascii="STIX-Regular" w:cs="STIX-Regular"/>
            <w:sz w:val="20"/>
            <w:szCs w:val="20"/>
          </w:rPr>
          <w:t>mouamna.elhamoli@med.menofia.edu.eg</w:t>
        </w:r>
      </w:hyperlink>
      <w:r>
        <w:rPr>
          <w:rFonts w:ascii="STIX-Regular" w:cs="STIX-Regular"/>
          <w:sz w:val="20"/>
          <w:szCs w:val="20"/>
        </w:rPr>
        <w:t xml:space="preserve"> /  moamena1@yahoo.com</w:t>
      </w:r>
    </w:p>
    <w:p w:rsidR="00F40670" w:rsidRPr="00A311EC" w:rsidRDefault="00F40670" w:rsidP="00F40670">
      <w:pPr>
        <w:autoSpaceDE w:val="0"/>
        <w:autoSpaceDN w:val="0"/>
        <w:adjustRightInd w:val="0"/>
        <w:jc w:val="right"/>
        <w:rPr>
          <w:rtl/>
          <w:lang w:bidi="ar-EG"/>
        </w:rPr>
      </w:pPr>
      <w:r w:rsidRPr="008A690F">
        <w:rPr>
          <w:lang w:val="en-NZ"/>
        </w:rPr>
        <w:t>Sessionname/ number:</w:t>
      </w:r>
      <w:r>
        <w:rPr>
          <w:lang w:val="en-NZ"/>
        </w:rPr>
        <w:t xml:space="preserve">Liver cirrhosis . </w:t>
      </w:r>
      <w:r w:rsidRPr="008A690F">
        <w:rPr>
          <w:lang w:val="en-NZ"/>
        </w:rPr>
        <w:t xml:space="preserve">Category: (Oral presentation/ </w:t>
      </w:r>
      <w:r w:rsidRPr="007F0ED7">
        <w:rPr>
          <w:u w:val="single"/>
          <w:lang w:val="en-NZ"/>
        </w:rPr>
        <w:t>Poster presentation</w:t>
      </w:r>
      <w:r>
        <w:rPr>
          <w:u w:val="single"/>
          <w:lang w:val="en-NZ"/>
        </w:rPr>
        <w:t>)</w:t>
      </w:r>
    </w:p>
    <w:p w:rsidR="00F40670" w:rsidRPr="00996A35" w:rsidRDefault="00F40670" w:rsidP="00F40670">
      <w:pPr>
        <w:spacing w:line="360" w:lineRule="auto"/>
        <w:jc w:val="right"/>
        <w:rPr>
          <w:rFonts w:asciiTheme="majorBidi" w:hAnsiTheme="majorBidi" w:cstheme="majorBidi"/>
          <w:b/>
          <w:bCs/>
          <w:sz w:val="24"/>
          <w:szCs w:val="24"/>
        </w:rPr>
      </w:pPr>
      <w:r w:rsidRPr="00996A35">
        <w:rPr>
          <w:rFonts w:asciiTheme="majorBidi" w:hAnsiTheme="majorBidi" w:cstheme="majorBidi"/>
          <w:b/>
          <w:bCs/>
          <w:sz w:val="24"/>
          <w:szCs w:val="24"/>
        </w:rPr>
        <w:br w:type="page"/>
      </w:r>
    </w:p>
    <w:p w:rsidR="00743F58" w:rsidRPr="00F40670" w:rsidRDefault="00743F58">
      <w:pPr>
        <w:rPr>
          <w:lang w:bidi="ar-EG"/>
        </w:rPr>
      </w:pPr>
    </w:p>
    <w:sectPr w:rsidR="00743F58" w:rsidRPr="00F40670" w:rsidSect="00F40670">
      <w:pgSz w:w="11906" w:h="16838"/>
      <w:pgMar w:top="709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altName w:val="Arial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PGothic">
    <w:charset w:val="80"/>
    <w:family w:val="swiss"/>
    <w:pitch w:val="variable"/>
    <w:sig w:usb0="E00002FF" w:usb1="6AC7FDFB" w:usb2="08000012" w:usb3="00000000" w:csb0="0002009F" w:csb1="00000000"/>
  </w:font>
  <w:font w:name="STIX-Regular">
    <w:altName w:val="Noto Sans Syriac Western"/>
    <w:charset w:val="B2"/>
    <w:family w:val="roman"/>
    <w:notTrueType/>
    <w:pitch w:val="default"/>
    <w:sig w:usb0="00002001" w:usb1="00000000" w:usb2="00000000" w:usb3="00000000" w:csb0="00000040" w:csb1="00000000"/>
  </w:font>
  <w:font w:name="Cambria"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7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0670"/>
    <w:rsid w:val="001C456E"/>
    <w:rsid w:val="00721236"/>
    <w:rsid w:val="00743F58"/>
    <w:rsid w:val="00CF7C9C"/>
    <w:rsid w:val="00F406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85CD77CA-2066-8941-B1F1-B75448B959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406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40670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4067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7" Type="http://schemas.openxmlformats.org/officeDocument/2006/relationships/theme" Target="theme/theme1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fontTable" Target="fontTable.xml" /><Relationship Id="rId5" Type="http://schemas.openxmlformats.org/officeDocument/2006/relationships/hyperlink" Target="mailto:mouamna.elhamoli@med.menofia.edu.eg" TargetMode="External" /><Relationship Id="rId4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494</Words>
  <Characters>2818</Characters>
  <Application>Microsoft Office Word</Application>
  <DocSecurity>0</DocSecurity>
  <Lines>23</Lines>
  <Paragraphs>6</Paragraphs>
  <ScaleCrop>false</ScaleCrop>
  <Company/>
  <LinksUpToDate>false</LinksUpToDate>
  <CharactersWithSpaces>3306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Hamoly</dc:creator>
  <cp:keywords/>
  <dc:description/>
  <cp:lastModifiedBy>moamena said</cp:lastModifiedBy>
  <cp:revision>2</cp:revision>
  <dcterms:created xsi:type="dcterms:W3CDTF">2020-02-02T09:39:00Z</dcterms:created>
  <dcterms:modified xsi:type="dcterms:W3CDTF">2020-02-02T09:39:00Z</dcterms:modified>
</cp:coreProperties>
</file>