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F00A8" w14:textId="0AF46BB4" w:rsidR="007C4342" w:rsidRDefault="007C4342" w:rsidP="007C4342">
      <w:pPr>
        <w:spacing w:after="0" w:line="240" w:lineRule="auto"/>
        <w:jc w:val="right"/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</w:pPr>
      <w:r>
        <w:rPr>
          <w:noProof/>
        </w:rPr>
        <w:drawing>
          <wp:inline distT="0" distB="0" distL="0" distR="0" wp14:anchorId="6DBA29CB" wp14:editId="26679A94">
            <wp:extent cx="1278890" cy="13387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138" cy="134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250C3" w14:textId="77777777" w:rsidR="007C4342" w:rsidRDefault="007C4342" w:rsidP="00177E43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</w:pPr>
    </w:p>
    <w:p w14:paraId="31D8F382" w14:textId="5D68BB83" w:rsidR="00177E43" w:rsidRPr="0088372C" w:rsidRDefault="00177E43" w:rsidP="007C4342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</w:pP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>Cost-effectiveness of HCV core</w:t>
      </w:r>
      <w:r w:rsidRPr="0088372C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Antigen</w:t>
      </w:r>
      <w:r w:rsidR="007C4342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assays</w:t>
      </w: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versus PCR</w:t>
      </w:r>
      <w:r w:rsidRPr="0088372C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</w:t>
      </w:r>
      <w:r w:rsidR="007C4342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>for</w:t>
      </w: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</w:t>
      </w:r>
      <w:r w:rsidR="007C4342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>monitoring</w:t>
      </w: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treatment</w:t>
      </w:r>
      <w:r w:rsidRPr="0088372C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 </w:t>
      </w: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response in </w:t>
      </w:r>
      <w:r w:rsidR="007C4342"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DAAs-treated </w:t>
      </w:r>
      <w:r>
        <w:rPr>
          <w:rFonts w:ascii="Times New Roman" w:eastAsia="MS PGothic" w:hAnsi="Times New Roman" w:cs="Times New Roman"/>
          <w:b/>
          <w:color w:val="000000"/>
          <w:sz w:val="26"/>
          <w:szCs w:val="26"/>
          <w:lang w:val="it-IT" w:eastAsia="it-IT"/>
        </w:rPr>
        <w:t xml:space="preserve">Egyptian patients </w:t>
      </w:r>
    </w:p>
    <w:p w14:paraId="6B028B94" w14:textId="77777777" w:rsidR="00177E43" w:rsidRPr="0003470C" w:rsidRDefault="00177E43" w:rsidP="00177E4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8"/>
          <w:szCs w:val="8"/>
          <w:lang w:val="it-IT"/>
        </w:rPr>
      </w:pPr>
    </w:p>
    <w:p w14:paraId="5BB1A64C" w14:textId="77777777" w:rsidR="00177E43" w:rsidRPr="00D82C2C" w:rsidRDefault="00177E43" w:rsidP="0003470C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it-IT" w:bidi="ar-EG"/>
        </w:rPr>
      </w:pPr>
      <w:r w:rsidRPr="00D82C2C">
        <w:rPr>
          <w:rFonts w:ascii="Times New Roman" w:hAnsi="Times New Roman" w:cs="Times New Roman"/>
          <w:b/>
          <w:bCs/>
          <w:sz w:val="20"/>
          <w:szCs w:val="20"/>
          <w:lang w:val="it-IT" w:bidi="ar-EG"/>
        </w:rPr>
        <w:t>Mohammed Alaa EL-Din Nouh (MD)</w:t>
      </w:r>
      <w:r w:rsidRPr="00D82C2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it-IT" w:bidi="ar-EG"/>
        </w:rPr>
        <w:t>1</w:t>
      </w:r>
      <w:r w:rsidRPr="00D82C2C">
        <w:rPr>
          <w:rFonts w:ascii="Times New Roman" w:hAnsi="Times New Roman" w:cs="Times New Roman"/>
          <w:b/>
          <w:bCs/>
          <w:sz w:val="20"/>
          <w:szCs w:val="20"/>
          <w:lang w:val="it-IT" w:bidi="ar-EG"/>
        </w:rPr>
        <w:t>, Ahmed Ragab EL-Gazzarah (MD)</w:t>
      </w:r>
      <w:r w:rsidRPr="00D82C2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it-IT" w:bidi="ar-EG"/>
        </w:rPr>
        <w:t>1</w:t>
      </w:r>
      <w:r w:rsidRPr="00D82C2C">
        <w:rPr>
          <w:rFonts w:ascii="Times New Roman" w:hAnsi="Times New Roman" w:cs="Times New Roman"/>
          <w:b/>
          <w:bCs/>
          <w:sz w:val="20"/>
          <w:szCs w:val="20"/>
          <w:lang w:val="it-IT" w:bidi="ar-EG"/>
        </w:rPr>
        <w:t>, Mohamed Gamal Elhelbawy (MD)</w:t>
      </w:r>
      <w:r w:rsidRPr="00D82C2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it-IT" w:bidi="ar-EG"/>
        </w:rPr>
        <w:t>2</w:t>
      </w:r>
      <w:r w:rsidRPr="00D82C2C">
        <w:rPr>
          <w:rFonts w:ascii="Times New Roman" w:hAnsi="Times New Roman" w:cs="Times New Roman"/>
          <w:b/>
          <w:bCs/>
          <w:sz w:val="20"/>
          <w:szCs w:val="20"/>
          <w:lang w:val="it-IT" w:bidi="ar-EG"/>
        </w:rPr>
        <w:t xml:space="preserve"> Mohammed Abdel Badie Mohammed Soliman (M. B.B.Ch)</w:t>
      </w:r>
      <w:r w:rsidRPr="00D82C2C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it-IT" w:bidi="ar-EG"/>
        </w:rPr>
        <w:t>3</w:t>
      </w:r>
    </w:p>
    <w:p w14:paraId="4945A36D" w14:textId="77777777" w:rsidR="00177E43" w:rsidRPr="00717686" w:rsidRDefault="00177E43" w:rsidP="00177E4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" w:bidi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" w:bidi="en-US"/>
        </w:rPr>
        <w:t xml:space="preserve">1 </w:t>
      </w:r>
      <w:r w:rsidRPr="00717686">
        <w:rPr>
          <w:rFonts w:ascii="Times New Roman" w:hAnsi="Times New Roman" w:cs="Times New Roman"/>
          <w:sz w:val="20"/>
          <w:szCs w:val="20"/>
        </w:rPr>
        <w:t>Tropical Medicine department</w:t>
      </w:r>
      <w:r w:rsidRPr="00717686">
        <w:rPr>
          <w:rFonts w:ascii="Times New Roman" w:hAnsi="Times New Roman" w:cs="Times New Roman"/>
          <w:sz w:val="20"/>
          <w:szCs w:val="20"/>
          <w:lang w:val="en" w:bidi="en-US"/>
        </w:rPr>
        <w:t>, Faculty of medicine, Menoufia University, Egypt</w:t>
      </w:r>
    </w:p>
    <w:p w14:paraId="0F9B6311" w14:textId="77777777" w:rsidR="00177E43" w:rsidRPr="00717686" w:rsidRDefault="00177E43" w:rsidP="00177E4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" w:bidi="en-US"/>
        </w:rPr>
        <w:t xml:space="preserve">2 </w:t>
      </w:r>
      <w:r>
        <w:rPr>
          <w:rFonts w:ascii="Times New Roman" w:hAnsi="Times New Roman" w:cs="Times New Roman"/>
          <w:sz w:val="20"/>
          <w:szCs w:val="20"/>
          <w:lang w:bidi="en-US"/>
        </w:rPr>
        <w:t>C</w:t>
      </w:r>
      <w:r w:rsidRPr="00717686">
        <w:rPr>
          <w:rFonts w:ascii="Times New Roman" w:hAnsi="Times New Roman" w:cs="Times New Roman"/>
          <w:sz w:val="20"/>
          <w:szCs w:val="20"/>
          <w:lang w:bidi="en-US"/>
        </w:rPr>
        <w:t>linical pathology department</w:t>
      </w:r>
      <w:r w:rsidRPr="00717686">
        <w:rPr>
          <w:rFonts w:ascii="Times New Roman" w:hAnsi="Times New Roman" w:cs="Times New Roman"/>
          <w:sz w:val="20"/>
          <w:szCs w:val="20"/>
          <w:lang w:val="en" w:bidi="en-US"/>
        </w:rPr>
        <w:t>, Faculty of medicine, Menoufia University</w:t>
      </w:r>
      <w:r w:rsidRPr="00717686">
        <w:rPr>
          <w:rFonts w:ascii="Times New Roman" w:hAnsi="Times New Roman" w:cs="Times New Roman"/>
          <w:sz w:val="20"/>
          <w:szCs w:val="20"/>
          <w:lang w:bidi="en-US"/>
        </w:rPr>
        <w:t xml:space="preserve">, </w:t>
      </w:r>
      <w:r w:rsidRPr="00717686">
        <w:rPr>
          <w:rFonts w:ascii="Times New Roman" w:hAnsi="Times New Roman" w:cs="Times New Roman"/>
          <w:sz w:val="20"/>
          <w:szCs w:val="20"/>
          <w:lang w:val="en" w:bidi="en-US"/>
        </w:rPr>
        <w:t>Egypt</w:t>
      </w:r>
    </w:p>
    <w:p w14:paraId="57344E2E" w14:textId="77777777" w:rsidR="00177E43" w:rsidRPr="00717686" w:rsidRDefault="00177E43" w:rsidP="00177E4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bidi="en-US"/>
        </w:rPr>
        <w:t>3</w:t>
      </w:r>
      <w:r w:rsidRPr="00717686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717686">
        <w:rPr>
          <w:rFonts w:ascii="Times New Roman" w:hAnsi="Times New Roman" w:cs="Times New Roman"/>
          <w:sz w:val="20"/>
          <w:szCs w:val="20"/>
        </w:rPr>
        <w:t>Elahrar Teaching Hospital, Zagazig, Sharquiya govenorate,</w:t>
      </w:r>
      <w:r w:rsidRPr="00717686">
        <w:rPr>
          <w:rFonts w:ascii="Times New Roman" w:hAnsi="Times New Roman" w:cs="Times New Roman"/>
          <w:sz w:val="20"/>
          <w:szCs w:val="20"/>
          <w:lang w:bidi="en-US"/>
        </w:rPr>
        <w:t xml:space="preserve"> Egypt</w:t>
      </w:r>
    </w:p>
    <w:p w14:paraId="0CA80DBC" w14:textId="77777777" w:rsidR="00177E43" w:rsidRPr="0003470C" w:rsidRDefault="00177E43" w:rsidP="00177E43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8"/>
          <w:szCs w:val="8"/>
          <w:lang w:val="en"/>
        </w:rPr>
      </w:pPr>
    </w:p>
    <w:p w14:paraId="40242488" w14:textId="2B0CAB0B" w:rsidR="00177E43" w:rsidRPr="00D82C2C" w:rsidRDefault="00177E43" w:rsidP="00177E43">
      <w:pPr>
        <w:pStyle w:val="BbChar"/>
        <w:spacing w:after="0" w:line="240" w:lineRule="auto"/>
        <w:ind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93F96">
        <w:rPr>
          <w:b/>
          <w:bCs/>
          <w:color w:val="000000"/>
          <w:lang w:eastAsia="en-US"/>
        </w:rPr>
        <w:t>Background and Aim:</w:t>
      </w:r>
      <w:r w:rsidRPr="00D82C2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17686">
        <w:rPr>
          <w:rFonts w:ascii="Times New Roman" w:hAnsi="Times New Roman"/>
          <w:sz w:val="24"/>
          <w:szCs w:val="24"/>
        </w:rPr>
        <w:t>HCV</w:t>
      </w:r>
      <w:r>
        <w:rPr>
          <w:rFonts w:ascii="Times New Roman" w:hAnsi="Times New Roman"/>
          <w:sz w:val="24"/>
          <w:szCs w:val="24"/>
        </w:rPr>
        <w:t>-</w:t>
      </w:r>
      <w:r w:rsidRPr="00717686">
        <w:rPr>
          <w:rFonts w:ascii="Times New Roman" w:hAnsi="Times New Roman"/>
          <w:sz w:val="24"/>
          <w:szCs w:val="24"/>
        </w:rPr>
        <w:t>RNA determination</w:t>
      </w:r>
      <w:r>
        <w:rPr>
          <w:rFonts w:ascii="Times New Roman" w:hAnsi="Times New Roman"/>
          <w:sz w:val="24"/>
          <w:szCs w:val="24"/>
        </w:rPr>
        <w:t xml:space="preserve"> by PCR</w:t>
      </w:r>
      <w:r w:rsidRPr="00717686">
        <w:rPr>
          <w:rFonts w:ascii="Times New Roman" w:hAnsi="Times New Roman"/>
          <w:sz w:val="24"/>
          <w:szCs w:val="24"/>
        </w:rPr>
        <w:t xml:space="preserve"> is </w:t>
      </w:r>
      <w:r>
        <w:rPr>
          <w:rFonts w:ascii="Times New Roman" w:hAnsi="Times New Roman"/>
          <w:sz w:val="24"/>
          <w:szCs w:val="24"/>
        </w:rPr>
        <w:t xml:space="preserve">the gold-standard </w:t>
      </w:r>
      <w:r w:rsidRPr="00717686">
        <w:rPr>
          <w:rFonts w:ascii="Times New Roman" w:hAnsi="Times New Roman"/>
          <w:sz w:val="24"/>
          <w:szCs w:val="24"/>
        </w:rPr>
        <w:t xml:space="preserve">for diagnosis of </w:t>
      </w:r>
      <w:r>
        <w:rPr>
          <w:rFonts w:ascii="Times New Roman" w:hAnsi="Times New Roman"/>
          <w:sz w:val="24"/>
          <w:szCs w:val="24"/>
        </w:rPr>
        <w:t>HCV</w:t>
      </w:r>
      <w:r w:rsidRPr="00717686">
        <w:rPr>
          <w:rFonts w:ascii="Times New Roman" w:hAnsi="Times New Roman"/>
          <w:sz w:val="24"/>
          <w:szCs w:val="24"/>
        </w:rPr>
        <w:t xml:space="preserve"> infection and monitoring treatment </w:t>
      </w:r>
      <w:r>
        <w:rPr>
          <w:rFonts w:ascii="Times New Roman" w:hAnsi="Times New Roman"/>
          <w:sz w:val="24"/>
          <w:szCs w:val="24"/>
        </w:rPr>
        <w:t>response</w:t>
      </w:r>
      <w:r w:rsidRPr="00717686">
        <w:rPr>
          <w:rFonts w:ascii="Times New Roman" w:hAnsi="Times New Roman"/>
          <w:sz w:val="24"/>
          <w:szCs w:val="24"/>
        </w:rPr>
        <w:t>. HCV core antigen (HCV</w:t>
      </w:r>
      <w:r>
        <w:rPr>
          <w:rFonts w:ascii="Times New Roman" w:hAnsi="Times New Roman"/>
          <w:sz w:val="24"/>
          <w:szCs w:val="24"/>
        </w:rPr>
        <w:t>c</w:t>
      </w:r>
      <w:r w:rsidRPr="00717686">
        <w:rPr>
          <w:rFonts w:ascii="Times New Roman" w:hAnsi="Times New Roman"/>
          <w:sz w:val="24"/>
          <w:szCs w:val="24"/>
        </w:rPr>
        <w:t>Ag) assay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being more</w:t>
      </w:r>
      <w:r w:rsidRPr="00717686">
        <w:rPr>
          <w:rFonts w:ascii="Times New Roman" w:hAnsi="Times New Roman"/>
          <w:sz w:val="24"/>
          <w:szCs w:val="24"/>
        </w:rPr>
        <w:t xml:space="preserve"> simple</w:t>
      </w:r>
      <w:r>
        <w:rPr>
          <w:rFonts w:ascii="Times New Roman" w:hAnsi="Times New Roman"/>
          <w:sz w:val="24"/>
          <w:szCs w:val="24"/>
        </w:rPr>
        <w:t>,</w:t>
      </w:r>
      <w:r w:rsidRPr="007176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rapid</w:t>
      </w:r>
      <w:r w:rsidRPr="00717686">
        <w:rPr>
          <w:rFonts w:ascii="Times New Roman" w:hAnsi="Times New Roman"/>
          <w:sz w:val="24"/>
          <w:szCs w:val="24"/>
        </w:rPr>
        <w:t xml:space="preserve"> and </w:t>
      </w:r>
      <w:r w:rsidR="0003470C">
        <w:rPr>
          <w:rFonts w:ascii="Times New Roman" w:hAnsi="Times New Roman"/>
          <w:sz w:val="24"/>
          <w:szCs w:val="24"/>
        </w:rPr>
        <w:t>less expensive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may be </w:t>
      </w:r>
      <w:r>
        <w:rPr>
          <w:rFonts w:ascii="Times New Roman" w:hAnsi="Times New Roman"/>
          <w:sz w:val="24"/>
          <w:szCs w:val="24"/>
        </w:rPr>
        <w:t>more suitable in Egypt as a developing country with a very high HCV prevalence</w:t>
      </w:r>
      <w:r w:rsidRPr="00717686">
        <w:rPr>
          <w:rFonts w:ascii="Times New Roman" w:hAnsi="Times New Roman"/>
          <w:b/>
          <w:bCs/>
          <w:sz w:val="24"/>
          <w:szCs w:val="24"/>
        </w:rPr>
        <w:t>.</w:t>
      </w:r>
      <w:r w:rsidRPr="00D82C2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459A47E7" w14:textId="29F74392" w:rsidR="00177E43" w:rsidRPr="00BA187C" w:rsidRDefault="00177E43" w:rsidP="0003470C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24F1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Patients and Methods:</w:t>
      </w:r>
      <w:r w:rsidRPr="00B024F1">
        <w:rPr>
          <w:rFonts w:asciiTheme="majorBidi" w:hAnsiTheme="majorBidi" w:cstheme="majorBidi"/>
          <w:sz w:val="24"/>
          <w:szCs w:val="24"/>
        </w:rPr>
        <w:t xml:space="preserve"> </w:t>
      </w:r>
      <w:r w:rsidRPr="00BA187C">
        <w:rPr>
          <w:rFonts w:ascii="Times New Roman" w:hAnsi="Times New Roman" w:cs="Times New Roman"/>
          <w:sz w:val="24"/>
          <w:szCs w:val="24"/>
        </w:rPr>
        <w:t xml:space="preserve">This study included 48 Egyptian patients indicated for </w:t>
      </w:r>
      <w:r>
        <w:rPr>
          <w:rFonts w:ascii="Times New Roman" w:hAnsi="Times New Roman" w:cs="Times New Roman"/>
          <w:sz w:val="24"/>
          <w:szCs w:val="24"/>
        </w:rPr>
        <w:t>Sofosbuvir-based</w:t>
      </w:r>
      <w:r w:rsidRPr="00BA187C">
        <w:rPr>
          <w:rFonts w:ascii="Times New Roman" w:hAnsi="Times New Roman" w:cs="Times New Roman"/>
          <w:sz w:val="24"/>
          <w:szCs w:val="24"/>
        </w:rPr>
        <w:t xml:space="preserve"> </w:t>
      </w:r>
      <w:r w:rsidR="0003470C">
        <w:rPr>
          <w:rFonts w:ascii="Times New Roman" w:hAnsi="Times New Roman" w:cs="Times New Roman"/>
          <w:sz w:val="24"/>
          <w:szCs w:val="24"/>
        </w:rPr>
        <w:t>regimens</w:t>
      </w:r>
      <w:r w:rsidRPr="00BA187C">
        <w:rPr>
          <w:rFonts w:ascii="Times New Roman" w:hAnsi="Times New Roman" w:cs="Times New Roman"/>
          <w:sz w:val="24"/>
          <w:szCs w:val="24"/>
        </w:rPr>
        <w:t>, in the period from January to December 2018</w:t>
      </w:r>
      <w:r>
        <w:rPr>
          <w:rFonts w:ascii="Times New Roman" w:hAnsi="Times New Roman" w:cs="Times New Roman"/>
          <w:sz w:val="24"/>
          <w:szCs w:val="24"/>
        </w:rPr>
        <w:t xml:space="preserve">, all of them had underwent a pre-treatment workup of </w:t>
      </w:r>
      <w:r w:rsidRPr="00BA187C">
        <w:rPr>
          <w:rFonts w:ascii="Times New Roman" w:hAnsi="Times New Roman" w:cs="Times New Roman"/>
          <w:sz w:val="24"/>
          <w:szCs w:val="24"/>
        </w:rPr>
        <w:t>CBC, liver function tests, serum creatinine, HBsAg and HIV antibodies</w:t>
      </w:r>
      <w:r>
        <w:rPr>
          <w:rFonts w:ascii="Times New Roman" w:hAnsi="Times New Roman" w:cs="Times New Roman"/>
          <w:sz w:val="24"/>
          <w:szCs w:val="24"/>
        </w:rPr>
        <w:t xml:space="preserve"> (by ELISA),</w:t>
      </w:r>
      <w:r w:rsidRPr="00BA187C">
        <w:rPr>
          <w:rFonts w:ascii="Times New Roman" w:hAnsi="Times New Roman" w:cs="Times New Roman"/>
          <w:sz w:val="24"/>
          <w:szCs w:val="24"/>
        </w:rPr>
        <w:t xml:space="preserve"> HCV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A187C">
        <w:rPr>
          <w:rFonts w:ascii="Times New Roman" w:hAnsi="Times New Roman" w:cs="Times New Roman"/>
          <w:sz w:val="24"/>
          <w:szCs w:val="24"/>
        </w:rPr>
        <w:t xml:space="preserve">RNA </w:t>
      </w:r>
      <w:r>
        <w:rPr>
          <w:rFonts w:ascii="Times New Roman" w:hAnsi="Times New Roman" w:cs="Times New Roman"/>
          <w:sz w:val="24"/>
          <w:szCs w:val="24"/>
        </w:rPr>
        <w:t>quantification (by</w:t>
      </w:r>
      <w:r w:rsidRPr="00BA187C">
        <w:rPr>
          <w:rFonts w:ascii="Times New Roman" w:hAnsi="Times New Roman" w:cs="Times New Roman"/>
          <w:sz w:val="24"/>
          <w:szCs w:val="24"/>
        </w:rPr>
        <w:t xml:space="preserve"> </w:t>
      </w:r>
      <w:r w:rsidR="00A32E29">
        <w:rPr>
          <w:rFonts w:ascii="Times New Roman" w:hAnsi="Times New Roman" w:cs="Times New Roman"/>
          <w:sz w:val="24"/>
          <w:szCs w:val="24"/>
        </w:rPr>
        <w:t>rt-</w:t>
      </w:r>
      <w:r w:rsidRPr="00BA187C">
        <w:rPr>
          <w:rFonts w:ascii="Times New Roman" w:hAnsi="Times New Roman" w:cs="Times New Roman"/>
          <w:sz w:val="24"/>
          <w:szCs w:val="24"/>
        </w:rPr>
        <w:t>PCR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4"/>
          <w:szCs w:val="24"/>
        </w:rPr>
        <w:t>HCV</w:t>
      </w:r>
      <w:r>
        <w:rPr>
          <w:rFonts w:ascii="Times New Roman" w:hAnsi="Times New Roman" w:cs="Times New Roman"/>
          <w:color w:val="000000"/>
          <w:sz w:val="24"/>
          <w:szCs w:val="24"/>
        </w:rPr>
        <w:t>cAg</w:t>
      </w:r>
      <w:r w:rsidRPr="00BA18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q</w:t>
      </w:r>
      <w:r w:rsidRPr="00BA187C">
        <w:rPr>
          <w:rFonts w:ascii="Times New Roman" w:hAnsi="Times New Roman" w:cs="Times New Roman"/>
          <w:color w:val="000000"/>
          <w:sz w:val="24"/>
          <w:szCs w:val="24"/>
        </w:rPr>
        <w:t>uanti</w:t>
      </w:r>
      <w:r>
        <w:rPr>
          <w:rFonts w:ascii="Times New Roman" w:hAnsi="Times New Roman" w:cs="Times New Roman"/>
          <w:color w:val="000000"/>
          <w:sz w:val="24"/>
          <w:szCs w:val="24"/>
        </w:rPr>
        <w:t>fica</w:t>
      </w:r>
      <w:r w:rsidRPr="00BA187C">
        <w:rPr>
          <w:rFonts w:ascii="Times New Roman" w:hAnsi="Times New Roman" w:cs="Times New Roman"/>
          <w:color w:val="000000"/>
          <w:sz w:val="24"/>
          <w:szCs w:val="24"/>
        </w:rPr>
        <w:t xml:space="preserve">tion </w:t>
      </w:r>
      <w:r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A187C">
        <w:rPr>
          <w:rFonts w:ascii="Times New Roman" w:hAnsi="Times New Roman" w:cs="Times New Roman"/>
          <w:sz w:val="24"/>
          <w:szCs w:val="24"/>
        </w:rPr>
        <w:t>abdominal ultrasound</w:t>
      </w:r>
      <w:r>
        <w:rPr>
          <w:rFonts w:ascii="Times New Roman" w:hAnsi="Times New Roman" w:cs="Times New Roman"/>
          <w:sz w:val="24"/>
          <w:szCs w:val="24"/>
        </w:rPr>
        <w:t>. These investigations were repeated 12 weeks after end of treatment (post-treatment follow-up session).</w:t>
      </w:r>
    </w:p>
    <w:p w14:paraId="4AC5423B" w14:textId="1869BFE8" w:rsidR="00177E43" w:rsidRPr="00D66A13" w:rsidRDefault="00177E43" w:rsidP="00177E43">
      <w:pPr>
        <w:tabs>
          <w:tab w:val="left" w:pos="1935"/>
        </w:tabs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Results:</w:t>
      </w:r>
      <w:r w:rsidRPr="00D66A1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On the pre-treatment workup, 100% of patients had detectable HCV-RNA (48/48 patients tested positive for PCR) but 89.5% tested positive for HCV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cAg </w:t>
      </w:r>
      <w:r>
        <w:rPr>
          <w:rFonts w:asciiTheme="majorBidi" w:hAnsiTheme="majorBidi" w:cstheme="majorBidi"/>
          <w:sz w:val="24"/>
          <w:szCs w:val="24"/>
          <w:lang w:bidi="ar-EG"/>
        </w:rPr>
        <w:t>(43/48 patients). The 5 cases that tested negative for HCV</w:t>
      </w:r>
      <w:r>
        <w:rPr>
          <w:rFonts w:asciiTheme="majorBidi" w:hAnsiTheme="majorBidi" w:cstheme="majorBidi"/>
          <w:sz w:val="24"/>
          <w:szCs w:val="24"/>
          <w:lang w:bidi="ar-EG"/>
        </w:rPr>
        <w:t>cAg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had HCV-RNA levels &lt;2000 IU/mL. On the post-treatment follow-up, SVR12 rate was 95.9% (46/48 patients had undetectable HCV-RNA 12 weeks after end of treatment) and HCV</w:t>
      </w:r>
      <w:r>
        <w:rPr>
          <w:rFonts w:asciiTheme="majorBidi" w:hAnsiTheme="majorBidi" w:cstheme="majorBidi"/>
          <w:sz w:val="24"/>
          <w:szCs w:val="24"/>
          <w:lang w:bidi="ar-EG"/>
        </w:rPr>
        <w:t>cAg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was undetectable in all of them (46/48 patients). The 2 patients who didn’t achieve SVR12 still had detectable HCV</w:t>
      </w:r>
      <w:r>
        <w:rPr>
          <w:rFonts w:asciiTheme="majorBidi" w:hAnsiTheme="majorBidi" w:cstheme="majorBidi"/>
          <w:sz w:val="24"/>
          <w:szCs w:val="24"/>
          <w:lang w:bidi="ar-EG"/>
        </w:rPr>
        <w:t>cAg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in their blood and their HCV-RNA levels were &gt;2000 IU/mL. The levels of HCV-RNA and HCV</w:t>
      </w:r>
      <w:r>
        <w:rPr>
          <w:rFonts w:asciiTheme="majorBidi" w:hAnsiTheme="majorBidi" w:cstheme="majorBidi"/>
          <w:sz w:val="24"/>
          <w:szCs w:val="24"/>
          <w:lang w:bidi="ar-EG"/>
        </w:rPr>
        <w:t>cAg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were significantly-correlated (r=0.677, P&lt;0.001). HCVcAg had an overall sensitivity of 90% and specificity of 100%.</w:t>
      </w:r>
      <w:r w:rsidRPr="00D66A13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Pr="00D66A1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bookmarkStart w:id="0" w:name="_Hlk480569053"/>
    </w:p>
    <w:p w14:paraId="0C8ABF0F" w14:textId="0B5CFD62" w:rsidR="00177E43" w:rsidRPr="00D66A13" w:rsidRDefault="00177E43" w:rsidP="00A32E2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66A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Conclusions:</w:t>
      </w:r>
      <w:r w:rsidRPr="00D66A13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bookmarkEnd w:id="0"/>
      <w:r w:rsidRPr="00D66A13">
        <w:rPr>
          <w:rFonts w:ascii="Times New Roman" w:hAnsi="Times New Roman" w:cs="Times New Roman"/>
          <w:sz w:val="24"/>
          <w:szCs w:val="24"/>
        </w:rPr>
        <w:t xml:space="preserve">HCVcAg </w:t>
      </w:r>
      <w:r>
        <w:rPr>
          <w:rFonts w:ascii="Times New Roman" w:hAnsi="Times New Roman" w:cs="Times New Roman"/>
          <w:sz w:val="24"/>
          <w:szCs w:val="24"/>
        </w:rPr>
        <w:t xml:space="preserve">correlates </w:t>
      </w:r>
      <w:r>
        <w:rPr>
          <w:rFonts w:ascii="Times New Roman" w:hAnsi="Times New Roman" w:cs="Times New Roman"/>
          <w:sz w:val="24"/>
          <w:szCs w:val="24"/>
        </w:rPr>
        <w:t>significantly</w:t>
      </w:r>
      <w:r>
        <w:rPr>
          <w:rFonts w:ascii="Times New Roman" w:hAnsi="Times New Roman" w:cs="Times New Roman"/>
          <w:sz w:val="24"/>
          <w:szCs w:val="24"/>
        </w:rPr>
        <w:t xml:space="preserve"> with HCV-RNA levels but </w:t>
      </w:r>
      <w:r w:rsidRPr="00D66A13">
        <w:rPr>
          <w:rFonts w:ascii="Times New Roman" w:hAnsi="Times New Roman" w:cs="Times New Roman"/>
          <w:sz w:val="24"/>
          <w:szCs w:val="24"/>
        </w:rPr>
        <w:t xml:space="preserve">its undetectability doesn’t </w:t>
      </w:r>
      <w:r>
        <w:rPr>
          <w:rFonts w:ascii="Times New Roman" w:hAnsi="Times New Roman" w:cs="Times New Roman"/>
          <w:sz w:val="24"/>
          <w:szCs w:val="24"/>
        </w:rPr>
        <w:t>necessarily</w:t>
      </w:r>
      <w:r w:rsidRPr="00D66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indicate</w:t>
      </w:r>
      <w:r w:rsidRPr="00D66A13">
        <w:rPr>
          <w:rFonts w:ascii="Times New Roman" w:hAnsi="Times New Roman" w:cs="Times New Roman"/>
          <w:sz w:val="24"/>
          <w:szCs w:val="24"/>
        </w:rPr>
        <w:t xml:space="preserve"> aviremia, due to false negative results of HCVcAg with low viremia (&lt;2000 IU/m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D66A1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1D04BF6" w14:textId="15EE8B53" w:rsidR="00177E43" w:rsidRDefault="00177E43" w:rsidP="00177E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66A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Key words</w:t>
      </w:r>
      <w:r w:rsidRPr="00D66A1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D66A1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A32E29">
        <w:rPr>
          <w:rFonts w:ascii="Times New Roman" w:hAnsi="Times New Roman" w:cs="Times New Roman"/>
          <w:sz w:val="24"/>
          <w:szCs w:val="24"/>
          <w:lang w:bidi="en-US"/>
        </w:rPr>
        <w:t>Sofosbuvir</w:t>
      </w:r>
      <w:r w:rsidRPr="00D66A13">
        <w:rPr>
          <w:rFonts w:asciiTheme="majorBidi" w:hAnsiTheme="majorBidi" w:cstheme="majorBidi"/>
          <w:sz w:val="24"/>
          <w:szCs w:val="24"/>
        </w:rPr>
        <w:t xml:space="preserve">, </w:t>
      </w:r>
      <w:r w:rsidRPr="00D66A13">
        <w:rPr>
          <w:rFonts w:ascii="Times New Roman" w:hAnsi="Times New Roman"/>
          <w:sz w:val="24"/>
          <w:szCs w:val="24"/>
        </w:rPr>
        <w:t xml:space="preserve">Hepatitis C virus, </w:t>
      </w:r>
      <w:r w:rsidR="00A32E29">
        <w:rPr>
          <w:rFonts w:ascii="Times New Roman" w:hAnsi="Times New Roman"/>
          <w:sz w:val="24"/>
          <w:szCs w:val="24"/>
        </w:rPr>
        <w:t>HCV core antigen</w:t>
      </w:r>
    </w:p>
    <w:p w14:paraId="2ADF7DCF" w14:textId="77777777" w:rsidR="007C4342" w:rsidRDefault="007C4342" w:rsidP="0003470C">
      <w:pPr>
        <w:spacing w:after="0"/>
        <w:jc w:val="both"/>
        <w:rPr>
          <w:b/>
        </w:rPr>
      </w:pPr>
      <w:r>
        <w:rPr>
          <w:b/>
        </w:rPr>
        <w:t>Biography</w:t>
      </w:r>
    </w:p>
    <w:p w14:paraId="5AEA46EA" w14:textId="7677675B" w:rsidR="007C4342" w:rsidRPr="00F22019" w:rsidRDefault="007C4342" w:rsidP="0003470C">
      <w:pPr>
        <w:spacing w:after="0"/>
        <w:jc w:val="both"/>
      </w:pPr>
      <w:r>
        <w:t>Mohammed Alaa El-Din Nouh</w:t>
      </w:r>
      <w:r>
        <w:t xml:space="preserve"> has completed MD </w:t>
      </w:r>
      <w:r w:rsidRPr="00F22019">
        <w:t xml:space="preserve">at the age of </w:t>
      </w:r>
      <w:r>
        <w:t>3</w:t>
      </w:r>
      <w:r>
        <w:t xml:space="preserve">9 </w:t>
      </w:r>
      <w:r w:rsidRPr="00F22019">
        <w:t>years</w:t>
      </w:r>
      <w:r>
        <w:t xml:space="preserve"> from </w:t>
      </w:r>
      <w:r w:rsidRPr="00A13A37">
        <w:rPr>
          <w:rFonts w:eastAsia="MS PGothic" w:hAnsi="Arial"/>
          <w:color w:val="000000"/>
        </w:rPr>
        <w:t>Faculty of Medicine - Menoufia University</w:t>
      </w:r>
      <w:r>
        <w:t xml:space="preserve">. </w:t>
      </w:r>
      <w:r>
        <w:t>He</w:t>
      </w:r>
      <w:r>
        <w:t xml:space="preserve"> worked as </w:t>
      </w:r>
      <w:r>
        <w:t>a professor</w:t>
      </w:r>
      <w:r w:rsidRPr="00F22019">
        <w:t xml:space="preserve"> of Tropical Medicine</w:t>
      </w:r>
      <w:r>
        <w:t xml:space="preserve">, </w:t>
      </w:r>
      <w:r w:rsidRPr="00F22019">
        <w:t>Faculty of Medicine - Menoufia University- Egypt</w:t>
      </w:r>
      <w:r>
        <w:t xml:space="preserve"> science 20</w:t>
      </w:r>
      <w:r>
        <w:t>05</w:t>
      </w:r>
      <w:r>
        <w:t xml:space="preserve">. </w:t>
      </w:r>
      <w:r>
        <w:t>He</w:t>
      </w:r>
      <w:r>
        <w:t xml:space="preserve"> </w:t>
      </w:r>
      <w:r w:rsidRPr="00F22019">
        <w:t xml:space="preserve">has published </w:t>
      </w:r>
      <w:r w:rsidR="0003470C">
        <w:t>more than 20</w:t>
      </w:r>
      <w:r>
        <w:t xml:space="preserve"> </w:t>
      </w:r>
      <w:r>
        <w:t>papers</w:t>
      </w:r>
      <w:r w:rsidR="0003470C">
        <w:t xml:space="preserve"> in the field of hepatology and gastroenterology.</w:t>
      </w:r>
      <w:r>
        <w:t xml:space="preserve"> </w:t>
      </w:r>
    </w:p>
    <w:p w14:paraId="68AF5B3E" w14:textId="6BE69C35" w:rsidR="007C4342" w:rsidRPr="008A690F" w:rsidRDefault="007C4342" w:rsidP="0003470C">
      <w:pPr>
        <w:autoSpaceDE w:val="0"/>
        <w:autoSpaceDN w:val="0"/>
        <w:adjustRightInd w:val="0"/>
        <w:spacing w:after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t>Mohammed Alaa El-Din Nouh</w:t>
      </w:r>
      <w:r>
        <w:rPr>
          <w:lang w:val="en-NZ"/>
        </w:rPr>
        <w:t xml:space="preserve">, </w:t>
      </w:r>
      <w:proofErr w:type="gramStart"/>
      <w:r w:rsidRPr="008A690F">
        <w:rPr>
          <w:lang w:val="en-NZ"/>
        </w:rPr>
        <w:t>Contact</w:t>
      </w:r>
      <w:proofErr w:type="gramEnd"/>
      <w:r w:rsidRPr="008A690F">
        <w:rPr>
          <w:lang w:val="en-NZ"/>
        </w:rPr>
        <w:t xml:space="preserve"> number:</w:t>
      </w:r>
      <w:r>
        <w:rPr>
          <w:lang w:val="en-NZ"/>
        </w:rPr>
        <w:t>00201</w:t>
      </w:r>
      <w:r>
        <w:rPr>
          <w:lang w:val="en-NZ"/>
        </w:rPr>
        <w:t>009525523-</w:t>
      </w:r>
      <w:r w:rsidR="0003470C">
        <w:rPr>
          <w:lang w:val="en-NZ"/>
        </w:rPr>
        <w:t xml:space="preserve"> 00201222145552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   </w:t>
      </w:r>
      <w:r w:rsidRPr="008A690F">
        <w:rPr>
          <w:lang w:val="en-NZ"/>
        </w:rPr>
        <w:t>Linked In account:</w:t>
      </w:r>
      <w:r w:rsidR="0003470C">
        <w:rPr>
          <w:lang w:val="en-NZ"/>
        </w:rPr>
        <w:t xml:space="preserve"> Alaa Nouh</w:t>
      </w:r>
    </w:p>
    <w:p w14:paraId="5A64CB17" w14:textId="763E7D9F" w:rsidR="00380055" w:rsidRDefault="007C4342" w:rsidP="0003470C">
      <w:pPr>
        <w:autoSpaceDE w:val="0"/>
        <w:autoSpaceDN w:val="0"/>
        <w:adjustRightInd w:val="0"/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proofErr w:type="gramStart"/>
      <w:r w:rsidR="0003470C">
        <w:rPr>
          <w:lang w:val="en-NZ"/>
        </w:rPr>
        <w:t>DAAs</w:t>
      </w:r>
      <w:bookmarkStart w:id="1" w:name="_GoBack"/>
      <w:bookmarkEnd w:id="1"/>
      <w:r>
        <w:rPr>
          <w:lang w:val="en-NZ"/>
        </w:rPr>
        <w:t xml:space="preserve"> .</w:t>
      </w:r>
      <w:proofErr w:type="gramEnd"/>
      <w:r>
        <w:rPr>
          <w:lang w:val="en-NZ"/>
        </w:rPr>
        <w:t xml:space="preserve"> </w:t>
      </w:r>
      <w:r w:rsidRPr="008A690F">
        <w:rPr>
          <w:lang w:val="en-NZ"/>
        </w:rPr>
        <w:t xml:space="preserve">Category: (Oral presentation/ </w:t>
      </w:r>
      <w:r w:rsidRPr="007F0ED7">
        <w:rPr>
          <w:u w:val="single"/>
          <w:lang w:val="en-NZ"/>
        </w:rPr>
        <w:t>Poster presentation</w:t>
      </w:r>
      <w:r w:rsidRPr="008A690F">
        <w:rPr>
          <w:lang w:val="en-NZ"/>
        </w:rPr>
        <w:t>)</w:t>
      </w:r>
    </w:p>
    <w:sectPr w:rsidR="00380055" w:rsidSect="0003470C">
      <w:pgSz w:w="12240" w:h="15840"/>
      <w:pgMar w:top="540" w:right="180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55"/>
    <w:rsid w:val="0003470C"/>
    <w:rsid w:val="00081C81"/>
    <w:rsid w:val="00177E43"/>
    <w:rsid w:val="00380055"/>
    <w:rsid w:val="0048349A"/>
    <w:rsid w:val="007C4342"/>
    <w:rsid w:val="00A3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61D05"/>
  <w15:chartTrackingRefBased/>
  <w15:docId w15:val="{FB4F26B1-43B2-4229-BC85-074EF2A3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E43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Char">
    <w:name w:val="Bb Char"/>
    <w:basedOn w:val="BodyText"/>
    <w:link w:val="BbCharChar"/>
    <w:uiPriority w:val="99"/>
    <w:rsid w:val="00177E43"/>
    <w:pPr>
      <w:spacing w:after="240" w:line="360" w:lineRule="auto"/>
      <w:ind w:firstLine="567"/>
      <w:jc w:val="lowKashida"/>
    </w:pPr>
    <w:rPr>
      <w:rFonts w:cs="Times New Roman"/>
      <w:sz w:val="28"/>
      <w:szCs w:val="28"/>
      <w:lang w:eastAsia="ar-SA"/>
    </w:rPr>
  </w:style>
  <w:style w:type="character" w:customStyle="1" w:styleId="BbCharChar">
    <w:name w:val="Bb Char Char"/>
    <w:link w:val="BbChar"/>
    <w:uiPriority w:val="99"/>
    <w:rsid w:val="00177E43"/>
    <w:rPr>
      <w:rFonts w:ascii="Calibri" w:eastAsia="Calibri" w:hAnsi="Calibri" w:cs="Times New Roman"/>
      <w:sz w:val="28"/>
      <w:szCs w:val="28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177E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77E43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ahmed.ragab.gaber</dc:creator>
  <cp:keywords/>
  <dc:description/>
  <cp:lastModifiedBy>ahmed.ragab.gaber</cp:lastModifiedBy>
  <cp:revision>3</cp:revision>
  <dcterms:created xsi:type="dcterms:W3CDTF">2020-01-24T22:41:00Z</dcterms:created>
  <dcterms:modified xsi:type="dcterms:W3CDTF">2020-01-24T23:12:00Z</dcterms:modified>
</cp:coreProperties>
</file>