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1F75" w:rsidRPr="00465231" w:rsidRDefault="00A70026" w:rsidP="00A70026">
      <w:pPr>
        <w:tabs>
          <w:tab w:val="left" w:pos="3600"/>
          <w:tab w:val="left" w:pos="4050"/>
        </w:tabs>
        <w:spacing w:line="240" w:lineRule="auto"/>
        <w:ind w:left="3600" w:hanging="3720"/>
        <w:jc w:val="both"/>
        <w:rPr>
          <w:b/>
          <w:w w:val="90"/>
          <w:sz w:val="28"/>
          <w:szCs w:val="28"/>
        </w:rPr>
      </w:pPr>
      <w:r>
        <w:rPr>
          <w:b/>
          <w:w w:val="90"/>
          <w:sz w:val="28"/>
          <w:szCs w:val="28"/>
        </w:rPr>
        <w:t xml:space="preserve">  </w:t>
      </w:r>
      <w:proofErr w:type="gramStart"/>
      <w:r w:rsidR="00591F75" w:rsidRPr="00465231">
        <w:rPr>
          <w:b/>
          <w:w w:val="90"/>
          <w:sz w:val="28"/>
          <w:szCs w:val="28"/>
        </w:rPr>
        <w:t>The spectrum and outcome of acute</w:t>
      </w:r>
      <w:r w:rsidR="00D87BF6" w:rsidRPr="00465231">
        <w:rPr>
          <w:b/>
          <w:w w:val="90"/>
          <w:sz w:val="28"/>
          <w:szCs w:val="28"/>
        </w:rPr>
        <w:t xml:space="preserve"> </w:t>
      </w:r>
      <w:r w:rsidR="00591F75" w:rsidRPr="00465231">
        <w:rPr>
          <w:b/>
          <w:w w:val="90"/>
          <w:sz w:val="28"/>
          <w:szCs w:val="28"/>
        </w:rPr>
        <w:t>pancreatitis patients with acute kidney injury.</w:t>
      </w:r>
      <w:proofErr w:type="gramEnd"/>
    </w:p>
    <w:p w:rsidR="00A70026" w:rsidRDefault="00A70026" w:rsidP="00A70026">
      <w:pPr>
        <w:tabs>
          <w:tab w:val="left" w:pos="3600"/>
          <w:tab w:val="left" w:pos="4050"/>
        </w:tabs>
        <w:spacing w:line="240" w:lineRule="auto"/>
        <w:ind w:left="3600" w:hanging="3720"/>
        <w:jc w:val="both"/>
        <w:rPr>
          <w:b/>
          <w:w w:val="90"/>
          <w:sz w:val="28"/>
          <w:szCs w:val="28"/>
        </w:rPr>
      </w:pPr>
      <w:r>
        <w:rPr>
          <w:b/>
          <w:w w:val="90"/>
          <w:sz w:val="28"/>
          <w:szCs w:val="28"/>
        </w:rPr>
        <w:t xml:space="preserve">  </w:t>
      </w:r>
      <w:proofErr w:type="spellStart"/>
      <w:r w:rsidR="00FC4608">
        <w:rPr>
          <w:b/>
          <w:w w:val="90"/>
          <w:sz w:val="28"/>
          <w:szCs w:val="28"/>
        </w:rPr>
        <w:t>Piyush</w:t>
      </w:r>
      <w:proofErr w:type="spellEnd"/>
      <w:r w:rsidR="00FC4608">
        <w:rPr>
          <w:b/>
          <w:w w:val="90"/>
          <w:sz w:val="28"/>
          <w:szCs w:val="28"/>
        </w:rPr>
        <w:t xml:space="preserve"> </w:t>
      </w:r>
      <w:proofErr w:type="spellStart"/>
      <w:r w:rsidR="00FC4608">
        <w:rPr>
          <w:b/>
          <w:w w:val="90"/>
          <w:sz w:val="28"/>
          <w:szCs w:val="28"/>
        </w:rPr>
        <w:t>Mathur</w:t>
      </w:r>
      <w:proofErr w:type="spellEnd"/>
      <w:r w:rsidR="00FC4608">
        <w:rPr>
          <w:b/>
          <w:w w:val="90"/>
          <w:sz w:val="28"/>
          <w:szCs w:val="28"/>
        </w:rPr>
        <w:t xml:space="preserve"> MBBS, DNB (Internal Medicine) DNB (Nephrology)</w:t>
      </w:r>
    </w:p>
    <w:p w:rsidR="00FC4608" w:rsidRDefault="00FC4608" w:rsidP="00A70026">
      <w:pPr>
        <w:tabs>
          <w:tab w:val="left" w:pos="3600"/>
          <w:tab w:val="left" w:pos="4050"/>
        </w:tabs>
        <w:spacing w:line="240" w:lineRule="auto"/>
        <w:ind w:left="3600" w:hanging="3720"/>
        <w:jc w:val="both"/>
        <w:rPr>
          <w:b/>
          <w:w w:val="90"/>
          <w:sz w:val="28"/>
          <w:szCs w:val="28"/>
        </w:rPr>
      </w:pPr>
      <w:r>
        <w:rPr>
          <w:b/>
          <w:w w:val="90"/>
          <w:sz w:val="28"/>
          <w:szCs w:val="28"/>
        </w:rPr>
        <w:t xml:space="preserve">  </w:t>
      </w:r>
      <w:proofErr w:type="spellStart"/>
      <w:r>
        <w:rPr>
          <w:b/>
          <w:w w:val="90"/>
          <w:sz w:val="28"/>
          <w:szCs w:val="28"/>
        </w:rPr>
        <w:t>Rehan</w:t>
      </w:r>
      <w:proofErr w:type="spellEnd"/>
      <w:r>
        <w:rPr>
          <w:b/>
          <w:w w:val="90"/>
          <w:sz w:val="28"/>
          <w:szCs w:val="28"/>
        </w:rPr>
        <w:t xml:space="preserve"> Mohammed MBBS, DNB (Internal Medicine)</w:t>
      </w:r>
    </w:p>
    <w:p w:rsidR="00CE5D0C" w:rsidRDefault="00CE5D0C" w:rsidP="00A70026">
      <w:pPr>
        <w:spacing w:line="240" w:lineRule="auto"/>
        <w:jc w:val="both"/>
        <w:rPr>
          <w:sz w:val="28"/>
          <w:szCs w:val="28"/>
        </w:rPr>
      </w:pPr>
    </w:p>
    <w:p w:rsidR="00606C69" w:rsidRPr="00A70026" w:rsidRDefault="00040637" w:rsidP="00A70026">
      <w:pPr>
        <w:spacing w:line="240" w:lineRule="auto"/>
        <w:jc w:val="both"/>
        <w:rPr>
          <w:rFonts w:cs="Times New Roman"/>
          <w:color w:val="000000" w:themeColor="text1"/>
          <w:sz w:val="28"/>
          <w:szCs w:val="28"/>
        </w:rPr>
      </w:pPr>
      <w:r w:rsidRPr="00A70026">
        <w:rPr>
          <w:sz w:val="28"/>
          <w:szCs w:val="28"/>
        </w:rPr>
        <w:t>Statement of the Problem:</w:t>
      </w:r>
      <w:r w:rsidR="00D82C7F">
        <w:rPr>
          <w:sz w:val="28"/>
          <w:szCs w:val="28"/>
        </w:rPr>
        <w:t xml:space="preserve"> </w:t>
      </w:r>
      <w:r w:rsidR="00606C69" w:rsidRPr="00A70026">
        <w:rPr>
          <w:rFonts w:cs="Times New Roman"/>
          <w:color w:val="000000" w:themeColor="text1"/>
          <w:sz w:val="28"/>
          <w:szCs w:val="28"/>
        </w:rPr>
        <w:t>Acute Pancreatitis</w:t>
      </w:r>
      <w:r w:rsidR="003F470A" w:rsidRPr="00A70026">
        <w:rPr>
          <w:rFonts w:cs="Times New Roman"/>
          <w:color w:val="000000" w:themeColor="text1"/>
          <w:sz w:val="28"/>
          <w:szCs w:val="28"/>
        </w:rPr>
        <w:t xml:space="preserve"> (AP)</w:t>
      </w:r>
      <w:r w:rsidR="00606C69" w:rsidRPr="00A70026">
        <w:rPr>
          <w:rFonts w:cs="Times New Roman"/>
          <w:color w:val="000000" w:themeColor="text1"/>
          <w:sz w:val="28"/>
          <w:szCs w:val="28"/>
        </w:rPr>
        <w:t xml:space="preserve"> results in 100,000 hospitalizations per year and </w:t>
      </w:r>
      <w:r w:rsidR="00606C69" w:rsidRPr="00A70026">
        <w:rPr>
          <w:rFonts w:cs="Times New Roman"/>
          <w:color w:val="000000" w:themeColor="text1"/>
          <w:sz w:val="28"/>
          <w:szCs w:val="28"/>
          <w:shd w:val="clear" w:color="auto" w:fill="FFFFFF"/>
        </w:rPr>
        <w:t>the incidence of acute pancreatitis ranges from 13 to 45 per 100,000 population-years.</w:t>
      </w:r>
      <w:r w:rsidR="00491BA2" w:rsidRPr="00A70026">
        <w:rPr>
          <w:rFonts w:cs="Times New Roman"/>
          <w:color w:val="000000" w:themeColor="text1"/>
          <w:sz w:val="28"/>
          <w:szCs w:val="28"/>
          <w:shd w:val="clear" w:color="auto" w:fill="FFFFFF"/>
        </w:rPr>
        <w:fldChar w:fldCharType="begin" w:fldLock="1"/>
      </w:r>
      <w:r w:rsidR="003F470A" w:rsidRPr="00A70026">
        <w:rPr>
          <w:rFonts w:cs="Times New Roman"/>
          <w:color w:val="000000" w:themeColor="text1"/>
          <w:sz w:val="28"/>
          <w:szCs w:val="28"/>
          <w:shd w:val="clear" w:color="auto" w:fill="FFFFFF"/>
        </w:rPr>
        <w:instrText>ADDIN CSL_CITATION {"citationItems":[{"id":"ITEM-1","itemData":{"DOI":"10.1053/j.gastro.2013.01.068","ISSN":"1528-0012","abstract":"Acute pancreatitis is one of the most frequent gastrointestinal causes of hospital admission in the United States. Chronic pancreatitis, although lower in incidence, significantly reduces patients' quality of life. Pancreatic cancer is associated with a high mortality rate and is one of the top 5 causes of death from cancer. The burden of pancreatic disorders is expected to increase over time. The risk and etiology of pancreatitis differ with age and sex, and all pancreatic disorders affect the black population more than any other race. Gallstones are the most common cause of acute pancreatitis, and early cholecystectomy eliminates the risk of future attacks. Alcohol continues to be the single most important risk factor for chronic pancreatitis. Smoking is an independent risk factor for acute and chronic pancreatitis, and its effects could synergize with those of alcohol. Significant risk factors for pancreatic cancer include smoking and non-O blood groups. Alcohol abstinence and smoking cessation can alter the progression of pancreatitis and reduce recurrence; smoking cessation is the most effective strategy to reduce the risk of pancreatic cancer.","author":[{"dropping-particle":"","family":"Yadav","given":"Dhiraj","non-dropping-particle":"","parse-names":false,"suffix":""},{"dropping-particle":"","family":"Lowenfels","given":"Albert B","non-dropping-particle":"","parse-names":false,"suffix":""}],"container-title":"Gastroenterology","id":"ITEM-1","issue":"6","issued":{"date-parts":[["2013","6"]]},"language":"eng","page":"1252-1261","title":"The epidemiology of pancreatitis and pancreatic cancer","type":"article-journal","volume":"144"},"uris":["http://www.mendeley.com/documents/?uuid=8ba53e6d-5b32-42a2-9a46-7b2bbdf76336"]}],"mendeley":{"formattedCitation":"(1)","plainTextFormattedCitation":"(1)","previouslyFormattedCitation":"(1)"},"properties":{"noteIndex":0},"schema":"https://github.com/citation-style-language/schema/raw/master/csl-citation.json"}</w:instrText>
      </w:r>
      <w:r w:rsidR="00491BA2" w:rsidRPr="00A70026">
        <w:rPr>
          <w:rFonts w:cs="Times New Roman"/>
          <w:color w:val="000000" w:themeColor="text1"/>
          <w:sz w:val="28"/>
          <w:szCs w:val="28"/>
          <w:shd w:val="clear" w:color="auto" w:fill="FFFFFF"/>
        </w:rPr>
        <w:fldChar w:fldCharType="separate"/>
      </w:r>
      <w:r w:rsidR="00491BA2" w:rsidRPr="00A70026">
        <w:rPr>
          <w:rFonts w:cs="Times New Roman"/>
          <w:noProof/>
          <w:color w:val="000000" w:themeColor="text1"/>
          <w:sz w:val="28"/>
          <w:szCs w:val="28"/>
          <w:shd w:val="clear" w:color="auto" w:fill="FFFFFF"/>
        </w:rPr>
        <w:t>(1)</w:t>
      </w:r>
      <w:r w:rsidR="00491BA2" w:rsidRPr="00A70026">
        <w:rPr>
          <w:rFonts w:cs="Times New Roman"/>
          <w:color w:val="000000" w:themeColor="text1"/>
          <w:sz w:val="28"/>
          <w:szCs w:val="28"/>
          <w:shd w:val="clear" w:color="auto" w:fill="FFFFFF"/>
        </w:rPr>
        <w:fldChar w:fldCharType="end"/>
      </w:r>
      <w:r w:rsidR="00D81451" w:rsidRPr="00A70026">
        <w:rPr>
          <w:rFonts w:cs="Times New Roman"/>
          <w:color w:val="000000" w:themeColor="text1"/>
          <w:sz w:val="28"/>
          <w:szCs w:val="28"/>
          <w:shd w:val="clear" w:color="auto" w:fill="FFFFFF"/>
        </w:rPr>
        <w:t xml:space="preserve"> </w:t>
      </w:r>
      <w:r w:rsidR="00606C69" w:rsidRPr="00A70026">
        <w:rPr>
          <w:rFonts w:cs="Times New Roman"/>
          <w:color w:val="000000" w:themeColor="text1"/>
          <w:sz w:val="28"/>
          <w:szCs w:val="28"/>
        </w:rPr>
        <w:t>Eighty percent of cases of AP are interstitial and mild; the remaining 20% to 30% are necrotizing and severe with hospital mortality rates of 15%.</w:t>
      </w:r>
      <w:r w:rsidR="003F470A" w:rsidRPr="00A70026">
        <w:rPr>
          <w:rFonts w:cs="Times New Roman"/>
          <w:color w:val="000000" w:themeColor="text1"/>
          <w:sz w:val="28"/>
          <w:szCs w:val="28"/>
        </w:rPr>
        <w:fldChar w:fldCharType="begin" w:fldLock="1"/>
      </w:r>
      <w:r w:rsidR="003F470A" w:rsidRPr="00A70026">
        <w:rPr>
          <w:rFonts w:cs="Times New Roman"/>
          <w:color w:val="000000" w:themeColor="text1"/>
          <w:sz w:val="28"/>
          <w:szCs w:val="28"/>
        </w:rPr>
        <w:instrText>ADDIN CSL_CITATION {"citationItems":[{"id":"ITEM-1","itemData":{"DOI":"10.1053/j.gastro.2011.06.073","ISSN":"1528-0012 (Electronic)","PMID":"21741922","abstract":"BACKGROUND &amp; AIMS: Treatment of patients with necrotizing pancreatitis has become  more conservative and less invasive, but there are few data from prospective studies to support the efficacy of this change. We performed a prospective multicenter study of treatment outcomes among patients with necrotizing pancreatitis. METHODS: We collected data from 639 consecutive patients with necrotizing pancreatitis, from 2004 to 2008, treated at 21 Dutch hospitals. Data were analyzed for disease severity, interventions (radiologic, endoscopic, surgical), and outcome. RESULTS: Overall mortality was 15% (n=93). Organ failure occurred in 240 patients (38%), with 35% mortality. Treatment was conservative in 397 patients (62%), with 7% mortality. An intervention was performed in 242 patients (38%), with 27% mortality; this included early emergency laparotomy in 32 patients (5%), with 78% mortality. Patients with longer times between admission and intervention had lower mortality: 0 to 14 days, 56%; 14 to 29 days, 26%; and &gt;29 days, 15% (P&lt;.001). A total of 208 patients (33%) received interventions for infected necrosis, with 19% mortality. Catheter drainage was most often performed as the first intervention (63% of cases), without additional necrosectomy in 35% of patients. Primary catheter drainage had fewer complications than primary necrosectomy (42% vs 64%, P=.003). Patients with pancreatic parenchymal necrosis (n=324), compared with patients with only peripancreatic necrosis (n=315), had a higher risk of organ failure (50% vs 24%, P&lt;.001) and mortality (20% vs 9%, P&lt;.001). CONCLUSIONS: Approximately 62% of patients with necrotizing pancreatitis can be treated without an intervention and with low mortality. In patients with infected necrosis, delayed intervention and catheter drainage as first treatment improves outcome.","author":[{"dropping-particle":"","family":"Santvoort","given":"Hjalmar C","non-dropping-particle":"van","parse-names":false,"suffix":""},{"dropping-particle":"","family":"Bakker","given":"Olaf J","non-dropping-particle":"","parse-names":false,"suffix":""},{"dropping-particle":"","family":"Bollen","given":"Thomas L","non-dropping-particle":"","parse-names":false,"suffix":""},{"dropping-particle":"","family":"Besselink","given":"Marc G","non-dropping-particle":"","parse-names":false,"suffix":""},{"dropping-particle":"","family":"Ahmed Ali","given":"Usama","non-dropping-particle":"","parse-names":false,"suffix":""},{"dropping-particle":"","family":"Schrijver","given":"A Marjolein","non-dropping-particle":"","parse-names":false,"suffix":""},{"dropping-particle":"","family":"Boermeester","given":"Marja A","non-dropping-particle":"","parse-names":false,"suffix":""},{"dropping-particle":"","family":"Goor","given":"Harry","non-dropping-particle":"van","parse-names":false,"suffix":""},{"dropping-particle":"","family":"Dejong","given":"Cornelis H","non-dropping-particle":"","parse-names":false,"suffix":""},{"dropping-particle":"","family":"Eijck","given":"Casper H","non-dropping-particle":"van","parse-names":false,"suffix":""},{"dropping-particle":"","family":"Ramshorst","given":"Bert","non-dropping-particle":"van","parse-names":false,"suffix":""},{"dropping-particle":"","family":"Schaapherder","given":"Alexander F","non-dropping-particle":"","parse-names":false,"suffix":""},{"dropping-particle":"","family":"Harst","given":"Erwin","non-dropping-particle":"van der","parse-names":false,"suffix":""},{"dropping-particle":"","family":"Hofker","given":"Sijbrand","non-dropping-particle":"","parse-names":false,"suffix":""},{"dropping-particle":"","family":"Nieuwenhuijs","given":"Vincent B","non-dropping-particle":"","parse-names":false,"suffix":""},{"dropping-particle":"","family":"Brink","given":"Menno A","non-dropping-particle":"","parse-names":false,"suffix":""},{"dropping-particle":"","family":"Kruyt","given":"Philip M","non-dropping-particle":"","parse-names":false,"suffix":""},{"dropping-particle":"","family":"Manusama","given":"Eric R","non-dropping-particle":"","parse-names":false,"suffix":""},{"dropping-particle":"","family":"Schelling","given":"George P","non-dropping-particle":"van der","parse-names":false,"suffix":""},{"dropping-particle":"","family":"Karsten","given":"Tom","non-dropping-particle":"","parse-names":false,"suffix":""},{"dropping-particle":"","family":"Hesselink","given":"Eric J","non-dropping-particle":"","parse-names":false,"suffix":""},{"dropping-particle":"","family":"Laarhoven","given":"Cornelis J","non-dropping-particle":"van","parse-names":false,"suffix":""},{"dropping-particle":"","family":"Rosman","given":"Camiel","non-dropping-particle":"","parse-names":false,"suffix":""},{"dropping-particle":"","family":"Bosscha","given":"Koop","non-dropping-particle":"","parse-names":false,"suffix":""},{"dropping-particle":"","family":"Wit","given":"Ralph J","non-dropping-particle":"de","parse-names":false,"suffix":""},{"dropping-particle":"","family":"Houdijk","given":"Alexander P","non-dropping-particle":"","parse-names":false,"suffix":""},{"dropping-particle":"","family":"Cuesta","given":"Miguel A","non-dropping-particle":"","parse-names":false,"suffix":""},{"dropping-particle":"","family":"Wahab","given":"Peter J","non-dropping-particle":"","parse-names":false,"suffix":""},{"dropping-particle":"","family":"Gooszen","given":"Hein G","non-dropping-particle":"","parse-names":false,"suffix":""}],"container-title":"Gastroenterology","id":"ITEM-1","issue":"4","issued":{"date-parts":[["2011","10"]]},"language":"eng","page":"1254-1263","publisher-place":"United States","title":"A conservative and minimally invasive approach to necrotizing pancreatitis improves  outcome.","type":"article-journal","volume":"141"},"uris":["http://www.mendeley.com/documents/?uuid=ec74cce3-8ac5-4dd7-858f-8e134d120235"]}],"mendeley":{"formattedCitation":"(2)","plainTextFormattedCitation":"(2)","previouslyFormattedCitation":"(2)"},"properties":{"noteIndex":0},"schema":"https://github.com/citation-style-language/schema/raw/master/csl-citation.json"}</w:instrText>
      </w:r>
      <w:r w:rsidR="003F470A" w:rsidRPr="00A70026">
        <w:rPr>
          <w:rFonts w:cs="Times New Roman"/>
          <w:color w:val="000000" w:themeColor="text1"/>
          <w:sz w:val="28"/>
          <w:szCs w:val="28"/>
        </w:rPr>
        <w:fldChar w:fldCharType="separate"/>
      </w:r>
      <w:r w:rsidR="003F470A" w:rsidRPr="00A70026">
        <w:rPr>
          <w:rFonts w:cs="Times New Roman"/>
          <w:noProof/>
          <w:color w:val="000000" w:themeColor="text1"/>
          <w:sz w:val="28"/>
          <w:szCs w:val="28"/>
        </w:rPr>
        <w:t>(2)</w:t>
      </w:r>
      <w:r w:rsidR="003F470A" w:rsidRPr="00A70026">
        <w:rPr>
          <w:rFonts w:cs="Times New Roman"/>
          <w:color w:val="000000" w:themeColor="text1"/>
          <w:sz w:val="28"/>
          <w:szCs w:val="28"/>
        </w:rPr>
        <w:fldChar w:fldCharType="end"/>
      </w:r>
      <w:r w:rsidR="003F470A" w:rsidRPr="00A70026">
        <w:rPr>
          <w:rFonts w:cs="Times New Roman"/>
          <w:color w:val="000000" w:themeColor="text1"/>
          <w:sz w:val="28"/>
          <w:szCs w:val="28"/>
        </w:rPr>
        <w:t xml:space="preserve"> Acute kidney injury</w:t>
      </w:r>
      <w:r w:rsidR="00D81451" w:rsidRPr="00A70026">
        <w:rPr>
          <w:rFonts w:cs="Times New Roman"/>
          <w:color w:val="000000" w:themeColor="text1"/>
          <w:sz w:val="28"/>
          <w:szCs w:val="28"/>
        </w:rPr>
        <w:t xml:space="preserve"> </w:t>
      </w:r>
      <w:r w:rsidR="003F470A" w:rsidRPr="00A70026">
        <w:rPr>
          <w:rFonts w:cs="Times New Roman"/>
          <w:color w:val="000000" w:themeColor="text1"/>
          <w:sz w:val="28"/>
          <w:szCs w:val="28"/>
        </w:rPr>
        <w:t>(</w:t>
      </w:r>
      <w:r w:rsidR="00D81451" w:rsidRPr="00A70026">
        <w:rPr>
          <w:rFonts w:cs="Times New Roman"/>
          <w:color w:val="000000" w:themeColor="text1"/>
          <w:sz w:val="28"/>
          <w:szCs w:val="28"/>
        </w:rPr>
        <w:t>AKI</w:t>
      </w:r>
      <w:r w:rsidR="003F470A" w:rsidRPr="00A70026">
        <w:rPr>
          <w:rFonts w:cs="Times New Roman"/>
          <w:color w:val="000000" w:themeColor="text1"/>
          <w:sz w:val="28"/>
          <w:szCs w:val="28"/>
        </w:rPr>
        <w:t>)</w:t>
      </w:r>
      <w:r w:rsidR="00D81451" w:rsidRPr="00A70026">
        <w:rPr>
          <w:rFonts w:cs="Times New Roman"/>
          <w:color w:val="000000" w:themeColor="text1"/>
          <w:sz w:val="28"/>
          <w:szCs w:val="28"/>
        </w:rPr>
        <w:t xml:space="preserve"> is a common serious complication of AP and an important marker of morbidity and mortality in critically ill patients. The prognosis of AP patients with AKI is extremely poor with mortality rates ranging between 25-75%.</w:t>
      </w:r>
      <w:r w:rsidR="003F470A" w:rsidRPr="00A70026">
        <w:rPr>
          <w:rFonts w:cs="Times New Roman"/>
          <w:color w:val="000000" w:themeColor="text1"/>
          <w:sz w:val="28"/>
          <w:szCs w:val="28"/>
        </w:rPr>
        <w:fldChar w:fldCharType="begin" w:fldLock="1"/>
      </w:r>
      <w:r w:rsidR="00D82C7F">
        <w:rPr>
          <w:rFonts w:cs="Times New Roman"/>
          <w:color w:val="000000" w:themeColor="text1"/>
          <w:sz w:val="28"/>
          <w:szCs w:val="28"/>
        </w:rPr>
        <w:instrText>ADDIN CSL_CITATION {"citationItems":[{"id":"ITEM-1","itemData":{"DOI":"10.3109/03009734.2010.547636","ISSN":"2000-1967 (Electronic)","PMID":"21250932","abstract":"INTRODUCTION: Acute pancreatitis (AP) is a common illness with varied mortality and  morbidity. Patients with AP complicated with acute renal failure (ARF) have higher mortality than patients with AP alone. Although ARF has been proposed as a leading mortality cause for AP patients admitted to the ICU, few studies have directly analyzed the relationship between AP and ARF. METHODS: We performed a retrospective study using the population-based database from the Taiwan National Health Insurance Research Database (NHIRD). In the period from 1 January 2005 to 31 December 2005, every patient with AP admitted to the ICU was included and assessed for the presence of ARF and mortality risk. RESULTS: In year 2005, there were a total of 221,101 admissions to the ICU. There were 1,734 patients with AP, of which 261 (15.05%) patients also had a diagnosis of ARF. Compared to sepsis and other critical illness, patients with AP had a higher risk of having a diagnosis of ARF, and patients with both diagnoses had a higher mortality rate in the same ICU hospitalization. CONCLUSION: AP is associated with a higher risk of ARF, and, when both conditions exist, a higher risk of mortality is present.","author":[{"dropping-particle":"","family":"Lin","given":"Hung-Yuan","non-dropping-particle":"","parse-names":false,"suffix":""},{"dropping-particle":"","family":"Lai","given":"Jiun-I","non-dropping-particle":"","parse-names":false,"suffix":""},{"dropping-particle":"","family":"Lai","given":"Yi-Chun","non-dropping-particle":"","parse-names":false,"suffix":""},{"dropping-particle":"","family":"Lin","given":"Po-Chou","non-dropping-particle":"","parse-names":false,"suffix":""},{"dropping-particle":"","family":"Chang","given":"Shih-Chieh","non-dropping-particle":"","parse-names":false,"suffix":""},{"dropping-particle":"","family":"Tang","given":"Gau-Jun","non-dropping-particle":"","parse-names":false,"suffix":""}],"container-title":"Upsala journal of medical sciences","id":"ITEM-1","issue":"2","issued":{"date-parts":[["2011","5"]]},"language":"eng","page":"155-159","title":"Acute renal failure in severe pancreatitis: A population-based study.","type":"article-journal","volume":"116"},"uris":["http://www.mendeley.com/documents/?uuid=b9392b52-2497-4079-8cae-4426a3522571"]}],"mendeley":{"formattedCitation":"(3)","plainTextFormattedCitation":"(3)","previouslyFormattedCitation":"(3)"},"properties":{"noteIndex":0},"schema":"https://github.com/citation-style-language/schema/raw/master/csl-citation.json"}</w:instrText>
      </w:r>
      <w:r w:rsidR="003F470A" w:rsidRPr="00A70026">
        <w:rPr>
          <w:rFonts w:cs="Times New Roman"/>
          <w:color w:val="000000" w:themeColor="text1"/>
          <w:sz w:val="28"/>
          <w:szCs w:val="28"/>
        </w:rPr>
        <w:fldChar w:fldCharType="separate"/>
      </w:r>
      <w:r w:rsidR="003F470A" w:rsidRPr="00A70026">
        <w:rPr>
          <w:rFonts w:cs="Times New Roman"/>
          <w:noProof/>
          <w:color w:val="000000" w:themeColor="text1"/>
          <w:sz w:val="28"/>
          <w:szCs w:val="28"/>
        </w:rPr>
        <w:t>(3)</w:t>
      </w:r>
      <w:r w:rsidR="003F470A" w:rsidRPr="00A70026">
        <w:rPr>
          <w:rFonts w:cs="Times New Roman"/>
          <w:color w:val="000000" w:themeColor="text1"/>
          <w:sz w:val="28"/>
          <w:szCs w:val="28"/>
        </w:rPr>
        <w:fldChar w:fldCharType="end"/>
      </w:r>
    </w:p>
    <w:p w:rsidR="00A13221" w:rsidRPr="00A70026" w:rsidRDefault="003F470A" w:rsidP="00A70026">
      <w:pPr>
        <w:spacing w:line="240" w:lineRule="auto"/>
        <w:jc w:val="both"/>
        <w:rPr>
          <w:rFonts w:cs="Times New Roman"/>
          <w:w w:val="90"/>
          <w:sz w:val="28"/>
          <w:szCs w:val="28"/>
        </w:rPr>
      </w:pPr>
      <w:r w:rsidRPr="00A70026">
        <w:rPr>
          <w:rFonts w:cs="Times New Roman"/>
          <w:color w:val="000000" w:themeColor="text1"/>
          <w:sz w:val="28"/>
          <w:szCs w:val="28"/>
        </w:rPr>
        <w:t>Purpose of the</w:t>
      </w:r>
      <w:r w:rsidR="00A13221" w:rsidRPr="00A70026">
        <w:rPr>
          <w:rFonts w:cs="Times New Roman"/>
          <w:color w:val="000000" w:themeColor="text1"/>
          <w:sz w:val="28"/>
          <w:szCs w:val="28"/>
        </w:rPr>
        <w:t xml:space="preserve"> study</w:t>
      </w:r>
      <w:r w:rsidRPr="00A70026">
        <w:rPr>
          <w:rFonts w:cs="Times New Roman"/>
          <w:color w:val="000000" w:themeColor="text1"/>
          <w:sz w:val="28"/>
          <w:szCs w:val="28"/>
        </w:rPr>
        <w:t>: T</w:t>
      </w:r>
      <w:r w:rsidR="00A13221" w:rsidRPr="00A70026">
        <w:rPr>
          <w:rFonts w:cs="Times New Roman"/>
          <w:w w:val="90"/>
          <w:sz w:val="28"/>
          <w:szCs w:val="28"/>
        </w:rPr>
        <w:t>o study the disease spectrum and outcome in patients of AP with AKI.</w:t>
      </w:r>
    </w:p>
    <w:p w:rsidR="007B2869" w:rsidRPr="00A70026" w:rsidRDefault="00177C48" w:rsidP="00A70026">
      <w:pPr>
        <w:tabs>
          <w:tab w:val="left" w:pos="1420"/>
        </w:tabs>
        <w:spacing w:line="240" w:lineRule="auto"/>
        <w:ind w:right="144"/>
        <w:jc w:val="both"/>
        <w:rPr>
          <w:rFonts w:eastAsia="Times New Roman"/>
          <w:sz w:val="28"/>
          <w:szCs w:val="28"/>
        </w:rPr>
      </w:pPr>
      <w:r w:rsidRPr="00A70026">
        <w:rPr>
          <w:sz w:val="28"/>
          <w:szCs w:val="28"/>
        </w:rPr>
        <w:t xml:space="preserve">Methodology &amp; Theoretical Orientation: </w:t>
      </w:r>
      <w:r w:rsidRPr="00A70026">
        <w:rPr>
          <w:rFonts w:eastAsia="Times New Roman"/>
          <w:b/>
          <w:bCs/>
          <w:sz w:val="28"/>
          <w:szCs w:val="28"/>
        </w:rPr>
        <w:t xml:space="preserve">STUDY TYPE: </w:t>
      </w:r>
      <w:r w:rsidRPr="00A70026">
        <w:rPr>
          <w:sz w:val="28"/>
          <w:szCs w:val="28"/>
        </w:rPr>
        <w:t>Prospective, longitudinal</w:t>
      </w:r>
      <w:r w:rsidRPr="00A70026">
        <w:rPr>
          <w:w w:val="90"/>
          <w:sz w:val="28"/>
          <w:szCs w:val="28"/>
        </w:rPr>
        <w:t xml:space="preserve">, and observational. </w:t>
      </w:r>
      <w:r w:rsidRPr="00A70026">
        <w:rPr>
          <w:rFonts w:eastAsia="Times New Roman"/>
          <w:b/>
          <w:bCs/>
          <w:sz w:val="28"/>
          <w:szCs w:val="28"/>
        </w:rPr>
        <w:t xml:space="preserve">STUDY DESIGN: </w:t>
      </w:r>
      <w:r w:rsidRPr="00A70026">
        <w:rPr>
          <w:rFonts w:eastAsia="Times New Roman"/>
          <w:sz w:val="28"/>
          <w:szCs w:val="28"/>
        </w:rPr>
        <w:t>Cross sectional study.</w:t>
      </w:r>
      <w:r w:rsidR="007B2869" w:rsidRPr="00A70026">
        <w:rPr>
          <w:rFonts w:eastAsia="Times New Roman"/>
          <w:sz w:val="28"/>
          <w:szCs w:val="28"/>
        </w:rPr>
        <w:t xml:space="preserve"> The main source of data for the study was collected from patients with AP admitted in </w:t>
      </w:r>
      <w:r w:rsidR="003F470A" w:rsidRPr="00A70026">
        <w:rPr>
          <w:rFonts w:eastAsia="Times New Roman"/>
          <w:sz w:val="28"/>
          <w:szCs w:val="28"/>
        </w:rPr>
        <w:t xml:space="preserve">Department of </w:t>
      </w:r>
      <w:r w:rsidR="007B2869" w:rsidRPr="00A70026">
        <w:rPr>
          <w:rFonts w:eastAsia="Times New Roman"/>
          <w:sz w:val="28"/>
          <w:szCs w:val="28"/>
        </w:rPr>
        <w:t xml:space="preserve">General Medicine and Gastroenterology department of </w:t>
      </w:r>
      <w:proofErr w:type="spellStart"/>
      <w:r w:rsidR="007B2869" w:rsidRPr="00A70026">
        <w:rPr>
          <w:rFonts w:eastAsia="Times New Roman"/>
          <w:sz w:val="28"/>
          <w:szCs w:val="28"/>
        </w:rPr>
        <w:t>Santokba</w:t>
      </w:r>
      <w:proofErr w:type="spellEnd"/>
      <w:r w:rsidR="007B2869" w:rsidRPr="00A70026">
        <w:rPr>
          <w:rFonts w:eastAsia="Times New Roman"/>
          <w:sz w:val="28"/>
          <w:szCs w:val="28"/>
        </w:rPr>
        <w:t xml:space="preserve"> </w:t>
      </w:r>
      <w:proofErr w:type="spellStart"/>
      <w:r w:rsidR="007B2869" w:rsidRPr="00A70026">
        <w:rPr>
          <w:rFonts w:eastAsia="Times New Roman"/>
          <w:sz w:val="28"/>
          <w:szCs w:val="28"/>
        </w:rPr>
        <w:t>Durlabhji</w:t>
      </w:r>
      <w:proofErr w:type="spellEnd"/>
      <w:r w:rsidR="007B2869" w:rsidRPr="00A70026">
        <w:rPr>
          <w:rFonts w:eastAsia="Times New Roman"/>
          <w:sz w:val="28"/>
          <w:szCs w:val="28"/>
        </w:rPr>
        <w:t xml:space="preserve"> Memorial Hospital, </w:t>
      </w:r>
      <w:proofErr w:type="spellStart"/>
      <w:r w:rsidR="007B2869" w:rsidRPr="00A70026">
        <w:rPr>
          <w:rFonts w:eastAsia="Times New Roman"/>
          <w:sz w:val="28"/>
          <w:szCs w:val="28"/>
        </w:rPr>
        <w:t>Jaipur</w:t>
      </w:r>
      <w:proofErr w:type="spellEnd"/>
      <w:r w:rsidR="007B2869" w:rsidRPr="00A70026">
        <w:rPr>
          <w:rFonts w:eastAsia="Times New Roman"/>
          <w:sz w:val="28"/>
          <w:szCs w:val="28"/>
        </w:rPr>
        <w:t>.</w:t>
      </w:r>
    </w:p>
    <w:p w:rsidR="00AF782C" w:rsidRPr="00A70026" w:rsidRDefault="001E3923" w:rsidP="00A70026">
      <w:pPr>
        <w:spacing w:line="240" w:lineRule="auto"/>
        <w:ind w:right="149"/>
        <w:jc w:val="both"/>
        <w:rPr>
          <w:rFonts w:cs="Times New Roman"/>
          <w:sz w:val="28"/>
          <w:szCs w:val="28"/>
        </w:rPr>
      </w:pPr>
      <w:r w:rsidRPr="00A70026">
        <w:rPr>
          <w:rFonts w:eastAsia="Times New Roman"/>
          <w:sz w:val="28"/>
          <w:szCs w:val="28"/>
        </w:rPr>
        <w:t>Findings-</w:t>
      </w:r>
      <w:r w:rsidR="005F460E" w:rsidRPr="00A70026">
        <w:rPr>
          <w:rFonts w:eastAsia="Times New Roman"/>
          <w:sz w:val="28"/>
          <w:szCs w:val="28"/>
        </w:rPr>
        <w:t xml:space="preserve"> </w:t>
      </w:r>
      <w:r w:rsidR="005F460E" w:rsidRPr="00A70026">
        <w:rPr>
          <w:rFonts w:cs="Times New Roman"/>
          <w:sz w:val="28"/>
          <w:szCs w:val="28"/>
        </w:rPr>
        <w:t xml:space="preserve">AKI was found in 27 out of total 144 study subject resulting in an incidence of 18.75% in our study. </w:t>
      </w:r>
      <w:r w:rsidR="005F460E" w:rsidRPr="00A70026">
        <w:rPr>
          <w:rFonts w:cs="Times New Roman"/>
          <w:bCs/>
          <w:sz w:val="28"/>
          <w:szCs w:val="28"/>
        </w:rPr>
        <w:t xml:space="preserve">Mean age of patients who developed AKI was </w:t>
      </w:r>
      <w:r w:rsidR="005F460E" w:rsidRPr="00A70026">
        <w:rPr>
          <w:rFonts w:cs="Times New Roman"/>
          <w:sz w:val="28"/>
          <w:szCs w:val="28"/>
        </w:rPr>
        <w:t>50.48 ± 20.45 which was significantly higher when compared to patients without AKI (40.97 ±16.13) with a P value of 0.009.</w:t>
      </w:r>
      <w:r w:rsidR="009B76F3" w:rsidRPr="00A70026">
        <w:rPr>
          <w:rFonts w:cs="Times New Roman"/>
          <w:sz w:val="28"/>
          <w:szCs w:val="28"/>
        </w:rPr>
        <w:t xml:space="preserve"> </w:t>
      </w:r>
      <w:r w:rsidR="009B76F3" w:rsidRPr="00A70026">
        <w:rPr>
          <w:rFonts w:cs="Times New Roman"/>
          <w:bCs/>
          <w:sz w:val="28"/>
          <w:szCs w:val="28"/>
        </w:rPr>
        <w:t>BMI of AP patients, who developed AKI, was higher (</w:t>
      </w:r>
      <w:r w:rsidR="009B76F3" w:rsidRPr="00A70026">
        <w:rPr>
          <w:rFonts w:cs="Times New Roman"/>
          <w:sz w:val="28"/>
          <w:szCs w:val="28"/>
        </w:rPr>
        <w:t>24.56 ± 3.08</w:t>
      </w:r>
      <w:r w:rsidR="009B76F3" w:rsidRPr="00A70026">
        <w:rPr>
          <w:rFonts w:cs="Times New Roman"/>
          <w:bCs/>
          <w:sz w:val="28"/>
          <w:szCs w:val="28"/>
        </w:rPr>
        <w:t>kg/m</w:t>
      </w:r>
      <w:r w:rsidR="009B76F3" w:rsidRPr="00A70026">
        <w:rPr>
          <w:rFonts w:cs="Times New Roman"/>
          <w:bCs/>
          <w:sz w:val="28"/>
          <w:szCs w:val="28"/>
          <w:vertAlign w:val="superscript"/>
        </w:rPr>
        <w:t xml:space="preserve">2)  </w:t>
      </w:r>
      <w:r w:rsidR="009B76F3" w:rsidRPr="00A70026">
        <w:rPr>
          <w:rFonts w:cs="Times New Roman"/>
          <w:bCs/>
          <w:sz w:val="28"/>
          <w:szCs w:val="28"/>
        </w:rPr>
        <w:t xml:space="preserve"> when compared to patients without AKI (2</w:t>
      </w:r>
      <w:r w:rsidR="009B76F3" w:rsidRPr="00A70026">
        <w:rPr>
          <w:rFonts w:cs="Times New Roman"/>
          <w:sz w:val="28"/>
          <w:szCs w:val="28"/>
        </w:rPr>
        <w:t>2.90 ± 2.36</w:t>
      </w:r>
      <w:r w:rsidR="009B76F3" w:rsidRPr="00A70026">
        <w:rPr>
          <w:rFonts w:cs="Times New Roman"/>
          <w:bCs/>
          <w:sz w:val="28"/>
          <w:szCs w:val="28"/>
        </w:rPr>
        <w:t>kg/m</w:t>
      </w:r>
      <w:r w:rsidR="009B76F3" w:rsidRPr="00A70026">
        <w:rPr>
          <w:rFonts w:cs="Times New Roman"/>
          <w:bCs/>
          <w:sz w:val="28"/>
          <w:szCs w:val="28"/>
          <w:vertAlign w:val="superscript"/>
        </w:rPr>
        <w:t xml:space="preserve">2) </w:t>
      </w:r>
      <w:r w:rsidR="009B76F3" w:rsidRPr="00A70026">
        <w:rPr>
          <w:rFonts w:cs="Times New Roman"/>
          <w:bCs/>
          <w:sz w:val="28"/>
          <w:szCs w:val="28"/>
        </w:rPr>
        <w:t>with p value 0.002.</w:t>
      </w:r>
      <w:r w:rsidR="00AC52EC" w:rsidRPr="00A70026">
        <w:rPr>
          <w:rFonts w:cs="Times New Roman"/>
          <w:bCs/>
          <w:sz w:val="28"/>
          <w:szCs w:val="28"/>
        </w:rPr>
        <w:t xml:space="preserve"> </w:t>
      </w:r>
      <w:r w:rsidR="00947439" w:rsidRPr="00A70026">
        <w:rPr>
          <w:rFonts w:cs="Times New Roman"/>
          <w:bCs/>
          <w:sz w:val="28"/>
          <w:szCs w:val="28"/>
        </w:rPr>
        <w:t>P</w:t>
      </w:r>
      <w:r w:rsidR="00AC52EC" w:rsidRPr="00A70026">
        <w:rPr>
          <w:rFonts w:cs="Times New Roman"/>
          <w:bCs/>
          <w:sz w:val="28"/>
          <w:szCs w:val="28"/>
        </w:rPr>
        <w:t>atients who had higher SOFA score at admission had greater chance of developing AKI.</w:t>
      </w:r>
      <w:r w:rsidR="00362A06" w:rsidRPr="00A70026">
        <w:rPr>
          <w:rFonts w:cs="Times New Roman"/>
          <w:sz w:val="28"/>
          <w:szCs w:val="28"/>
        </w:rPr>
        <w:t xml:space="preserve"> </w:t>
      </w:r>
      <w:r w:rsidR="00AF782C" w:rsidRPr="00A70026">
        <w:rPr>
          <w:rFonts w:cs="Times New Roman"/>
          <w:sz w:val="28"/>
          <w:szCs w:val="28"/>
        </w:rPr>
        <w:t xml:space="preserve">Patients of AP with AKI had average hospital stay of 12.22 ± 8.60 days Vs 8.41 ± 5.87 in non AKI patients. ICU stay in AKI group (8.07 ± 8.99) was also longer when compared to non AKI group (1.74 ± 4.31). AP patients who developed AKI had significantly high mortality (48.15% Vs 1.71%) as compared to patients of AP without AKI. </w:t>
      </w:r>
      <w:r w:rsidR="0078033E" w:rsidRPr="00A70026">
        <w:rPr>
          <w:rFonts w:cs="Times New Roman"/>
          <w:sz w:val="28"/>
          <w:szCs w:val="28"/>
        </w:rPr>
        <w:t>Patients of AP with AKI had very high mortality 48.15% (13 out of 27) as compared to total of 117 patient of AP without AKI where mortality was 1.71%.</w:t>
      </w:r>
    </w:p>
    <w:p w:rsidR="005F460E" w:rsidRPr="00A70026" w:rsidRDefault="00EA0C37" w:rsidP="00A70026">
      <w:pPr>
        <w:spacing w:line="240" w:lineRule="auto"/>
        <w:ind w:right="149"/>
        <w:jc w:val="both"/>
        <w:rPr>
          <w:rFonts w:cs="Times New Roman"/>
          <w:sz w:val="28"/>
          <w:szCs w:val="28"/>
        </w:rPr>
      </w:pPr>
      <w:r w:rsidRPr="00A70026">
        <w:rPr>
          <w:sz w:val="28"/>
          <w:szCs w:val="28"/>
        </w:rPr>
        <w:lastRenderedPageBreak/>
        <w:t>Conclusion &amp; Significance</w:t>
      </w:r>
      <w:r w:rsidR="005B7E9A" w:rsidRPr="00A70026">
        <w:rPr>
          <w:sz w:val="28"/>
          <w:szCs w:val="28"/>
        </w:rPr>
        <w:t xml:space="preserve">- </w:t>
      </w:r>
      <w:r w:rsidR="00947439" w:rsidRPr="00A70026">
        <w:rPr>
          <w:sz w:val="28"/>
          <w:szCs w:val="28"/>
        </w:rPr>
        <w:t>F</w:t>
      </w:r>
      <w:r w:rsidR="005B7E9A" w:rsidRPr="00A70026">
        <w:rPr>
          <w:sz w:val="28"/>
          <w:szCs w:val="28"/>
        </w:rPr>
        <w:t xml:space="preserve">rom current study we can conclude that, </w:t>
      </w:r>
      <w:r w:rsidR="005B7E9A" w:rsidRPr="00A70026">
        <w:rPr>
          <w:rFonts w:cs="Nimbus Roman D OT"/>
          <w:color w:val="000000"/>
          <w:sz w:val="28"/>
          <w:szCs w:val="28"/>
        </w:rPr>
        <w:t xml:space="preserve">AKI is a </w:t>
      </w:r>
      <w:r w:rsidR="00947439" w:rsidRPr="00A70026">
        <w:rPr>
          <w:rFonts w:cs="Nimbus Roman D OT"/>
          <w:color w:val="000000"/>
          <w:sz w:val="28"/>
          <w:szCs w:val="28"/>
        </w:rPr>
        <w:t xml:space="preserve">serious </w:t>
      </w:r>
      <w:r w:rsidR="005B7E9A" w:rsidRPr="00A70026">
        <w:rPr>
          <w:rFonts w:cs="Nimbus Roman D OT"/>
          <w:color w:val="000000"/>
          <w:sz w:val="28"/>
          <w:szCs w:val="28"/>
        </w:rPr>
        <w:t>complication of AP and lead</w:t>
      </w:r>
      <w:r w:rsidR="00947439" w:rsidRPr="00A70026">
        <w:rPr>
          <w:rFonts w:cs="Nimbus Roman D OT"/>
          <w:color w:val="000000"/>
          <w:sz w:val="28"/>
          <w:szCs w:val="28"/>
        </w:rPr>
        <w:t>s</w:t>
      </w:r>
      <w:r w:rsidR="005B7E9A" w:rsidRPr="00A70026">
        <w:rPr>
          <w:rFonts w:cs="Nimbus Roman D OT"/>
          <w:color w:val="000000"/>
          <w:sz w:val="28"/>
          <w:szCs w:val="28"/>
        </w:rPr>
        <w:t xml:space="preserve"> to a poor outcome</w:t>
      </w:r>
      <w:r w:rsidR="00947439" w:rsidRPr="00A70026">
        <w:rPr>
          <w:rFonts w:cs="Nimbus Roman D OT"/>
          <w:color w:val="000000"/>
          <w:sz w:val="28"/>
          <w:szCs w:val="28"/>
        </w:rPr>
        <w:t>.</w:t>
      </w:r>
      <w:r w:rsidR="005B7E9A" w:rsidRPr="00A70026">
        <w:rPr>
          <w:rFonts w:cs="Nimbus Roman D OT"/>
          <w:color w:val="000000"/>
          <w:sz w:val="28"/>
          <w:szCs w:val="28"/>
        </w:rPr>
        <w:t xml:space="preserve"> </w:t>
      </w:r>
    </w:p>
    <w:p w:rsidR="001E3923" w:rsidRPr="00A70026" w:rsidRDefault="001E3923" w:rsidP="00A70026">
      <w:pPr>
        <w:tabs>
          <w:tab w:val="left" w:pos="1420"/>
        </w:tabs>
        <w:spacing w:line="240" w:lineRule="auto"/>
        <w:ind w:left="1440" w:right="149" w:hanging="719"/>
        <w:jc w:val="both"/>
        <w:rPr>
          <w:sz w:val="28"/>
          <w:szCs w:val="28"/>
        </w:rPr>
      </w:pPr>
    </w:p>
    <w:p w:rsidR="00177C48" w:rsidRPr="00A70026" w:rsidRDefault="00177C48" w:rsidP="00A70026">
      <w:pPr>
        <w:spacing w:line="240" w:lineRule="auto"/>
        <w:ind w:left="-567" w:firstLine="1287"/>
        <w:jc w:val="both"/>
        <w:rPr>
          <w:sz w:val="28"/>
          <w:szCs w:val="28"/>
        </w:rPr>
      </w:pPr>
    </w:p>
    <w:p w:rsidR="00177C48" w:rsidRPr="00A70026" w:rsidRDefault="00177C48" w:rsidP="00A70026">
      <w:pPr>
        <w:spacing w:line="240" w:lineRule="auto"/>
        <w:jc w:val="both"/>
        <w:rPr>
          <w:rFonts w:cs="Times New Roman"/>
          <w:w w:val="90"/>
          <w:sz w:val="28"/>
          <w:szCs w:val="28"/>
        </w:rPr>
      </w:pPr>
    </w:p>
    <w:p w:rsidR="00D82C7F" w:rsidRDefault="00D82C7F">
      <w:pPr>
        <w:rPr>
          <w:sz w:val="28"/>
          <w:szCs w:val="28"/>
        </w:rPr>
      </w:pPr>
      <w:r>
        <w:rPr>
          <w:sz w:val="28"/>
          <w:szCs w:val="28"/>
        </w:rPr>
        <w:br w:type="page"/>
      </w:r>
    </w:p>
    <w:p w:rsidR="00A13221" w:rsidRDefault="00D82C7F" w:rsidP="00A70026">
      <w:pPr>
        <w:spacing w:line="240" w:lineRule="auto"/>
        <w:jc w:val="both"/>
        <w:rPr>
          <w:sz w:val="28"/>
          <w:szCs w:val="28"/>
        </w:rPr>
      </w:pPr>
      <w:r>
        <w:rPr>
          <w:sz w:val="28"/>
          <w:szCs w:val="28"/>
        </w:rPr>
        <w:lastRenderedPageBreak/>
        <w:t>Bibliography:</w:t>
      </w:r>
    </w:p>
    <w:p w:rsidR="00D82C7F" w:rsidRPr="00D82C7F" w:rsidRDefault="00D82C7F" w:rsidP="00D82C7F">
      <w:pPr>
        <w:widowControl w:val="0"/>
        <w:autoSpaceDE w:val="0"/>
        <w:autoSpaceDN w:val="0"/>
        <w:adjustRightInd w:val="0"/>
        <w:spacing w:line="240" w:lineRule="auto"/>
        <w:ind w:left="640" w:hanging="640"/>
        <w:rPr>
          <w:rFonts w:ascii="Calibri" w:hAnsi="Calibri" w:cs="Times New Roman"/>
          <w:noProof/>
          <w:sz w:val="28"/>
          <w:szCs w:val="24"/>
        </w:rPr>
      </w:pPr>
      <w:r>
        <w:rPr>
          <w:sz w:val="28"/>
          <w:szCs w:val="28"/>
        </w:rPr>
        <w:fldChar w:fldCharType="begin" w:fldLock="1"/>
      </w:r>
      <w:r>
        <w:rPr>
          <w:sz w:val="28"/>
          <w:szCs w:val="28"/>
        </w:rPr>
        <w:instrText xml:space="preserve">ADDIN Mendeley Bibliography CSL_BIBLIOGRAPHY </w:instrText>
      </w:r>
      <w:r>
        <w:rPr>
          <w:sz w:val="28"/>
          <w:szCs w:val="28"/>
        </w:rPr>
        <w:fldChar w:fldCharType="separate"/>
      </w:r>
      <w:r w:rsidRPr="00D82C7F">
        <w:rPr>
          <w:rFonts w:ascii="Calibri" w:hAnsi="Calibri" w:cs="Times New Roman"/>
          <w:noProof/>
          <w:sz w:val="28"/>
          <w:szCs w:val="24"/>
        </w:rPr>
        <w:t xml:space="preserve">1. </w:t>
      </w:r>
      <w:r w:rsidRPr="00D82C7F">
        <w:rPr>
          <w:rFonts w:ascii="Calibri" w:hAnsi="Calibri" w:cs="Times New Roman"/>
          <w:noProof/>
          <w:sz w:val="28"/>
          <w:szCs w:val="24"/>
        </w:rPr>
        <w:tab/>
        <w:t>Yadav D, Lowenfels AB. The epidemiology of pancreatitis and pancreatic cancer. Gastroenterology [Internet]. 2013 Jun;144(6):1252–61. Available from: https://pubmed.ncbi.nlm.nih.gov/23622135</w:t>
      </w:r>
    </w:p>
    <w:p w:rsidR="00D82C7F" w:rsidRPr="00D82C7F" w:rsidRDefault="00D82C7F" w:rsidP="00D82C7F">
      <w:pPr>
        <w:widowControl w:val="0"/>
        <w:autoSpaceDE w:val="0"/>
        <w:autoSpaceDN w:val="0"/>
        <w:adjustRightInd w:val="0"/>
        <w:spacing w:line="240" w:lineRule="auto"/>
        <w:ind w:left="640" w:hanging="640"/>
        <w:rPr>
          <w:rFonts w:ascii="Calibri" w:hAnsi="Calibri" w:cs="Times New Roman"/>
          <w:noProof/>
          <w:sz w:val="28"/>
          <w:szCs w:val="24"/>
        </w:rPr>
      </w:pPr>
      <w:r w:rsidRPr="00D82C7F">
        <w:rPr>
          <w:rFonts w:ascii="Calibri" w:hAnsi="Calibri" w:cs="Times New Roman"/>
          <w:noProof/>
          <w:sz w:val="28"/>
          <w:szCs w:val="24"/>
        </w:rPr>
        <w:t xml:space="preserve">2. </w:t>
      </w:r>
      <w:r w:rsidRPr="00D82C7F">
        <w:rPr>
          <w:rFonts w:ascii="Calibri" w:hAnsi="Calibri" w:cs="Times New Roman"/>
          <w:noProof/>
          <w:sz w:val="28"/>
          <w:szCs w:val="24"/>
        </w:rPr>
        <w:tab/>
        <w:t xml:space="preserve">van Santvoort HC, Bakker OJ, Bollen TL, Besselink MG, Ahmed Ali U, Schrijver AM, et al. A conservative and minimally invasive approach to necrotizing pancreatitis improves  outcome. Gastroenterology. 2011 Oct;141(4):1254–63. </w:t>
      </w:r>
    </w:p>
    <w:p w:rsidR="00D82C7F" w:rsidRPr="00D82C7F" w:rsidRDefault="00D82C7F" w:rsidP="00D82C7F">
      <w:pPr>
        <w:widowControl w:val="0"/>
        <w:autoSpaceDE w:val="0"/>
        <w:autoSpaceDN w:val="0"/>
        <w:adjustRightInd w:val="0"/>
        <w:spacing w:line="240" w:lineRule="auto"/>
        <w:ind w:left="640" w:hanging="640"/>
        <w:rPr>
          <w:rFonts w:ascii="Calibri" w:hAnsi="Calibri"/>
          <w:noProof/>
          <w:sz w:val="28"/>
        </w:rPr>
      </w:pPr>
      <w:r w:rsidRPr="00D82C7F">
        <w:rPr>
          <w:rFonts w:ascii="Calibri" w:hAnsi="Calibri" w:cs="Times New Roman"/>
          <w:noProof/>
          <w:sz w:val="28"/>
          <w:szCs w:val="24"/>
        </w:rPr>
        <w:t xml:space="preserve">3. </w:t>
      </w:r>
      <w:r w:rsidRPr="00D82C7F">
        <w:rPr>
          <w:rFonts w:ascii="Calibri" w:hAnsi="Calibri" w:cs="Times New Roman"/>
          <w:noProof/>
          <w:sz w:val="28"/>
          <w:szCs w:val="24"/>
        </w:rPr>
        <w:tab/>
        <w:t xml:space="preserve">Lin H-Y, Lai J-I, Lai Y-C, Lin P-C, Chang S-C, Tang G-J. Acute renal failure in severe pancreatitis: A population-based study. Ups J Med Sci. 2011 May;116(2):155–9. </w:t>
      </w:r>
    </w:p>
    <w:p w:rsidR="00D82C7F" w:rsidRPr="00A70026" w:rsidRDefault="00D82C7F" w:rsidP="00A70026">
      <w:pPr>
        <w:spacing w:line="240" w:lineRule="auto"/>
        <w:jc w:val="both"/>
        <w:rPr>
          <w:sz w:val="28"/>
          <w:szCs w:val="28"/>
        </w:rPr>
      </w:pPr>
      <w:r>
        <w:rPr>
          <w:sz w:val="28"/>
          <w:szCs w:val="28"/>
        </w:rPr>
        <w:fldChar w:fldCharType="end"/>
      </w:r>
    </w:p>
    <w:sectPr w:rsidR="00D82C7F" w:rsidRPr="00A7002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Nimbus Roman D OT">
    <w:altName w:val="Cambri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3456526"/>
    <w:multiLevelType w:val="hybridMultilevel"/>
    <w:tmpl w:val="C4EC33E0"/>
    <w:lvl w:ilvl="0" w:tplc="6FEAE12A">
      <w:start w:val="1"/>
      <w:numFmt w:val="decimal"/>
      <w:lvlText w:val="%1."/>
      <w:lvlJc w:val="left"/>
      <w:pPr>
        <w:ind w:left="1800" w:hanging="360"/>
      </w:pPr>
      <w:rPr>
        <w:rFonts w:hint="default"/>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20"/>
  <w:characterSpacingControl w:val="doNotCompress"/>
  <w:compat>
    <w:useFELayout/>
  </w:compat>
  <w:rsids>
    <w:rsidRoot w:val="00040637"/>
    <w:rsid w:val="00040637"/>
    <w:rsid w:val="000A4130"/>
    <w:rsid w:val="00177C48"/>
    <w:rsid w:val="001E3923"/>
    <w:rsid w:val="00362A06"/>
    <w:rsid w:val="003F470A"/>
    <w:rsid w:val="00465231"/>
    <w:rsid w:val="00491BA2"/>
    <w:rsid w:val="00591F75"/>
    <w:rsid w:val="005B7E9A"/>
    <w:rsid w:val="005F460E"/>
    <w:rsid w:val="00606C69"/>
    <w:rsid w:val="0078033E"/>
    <w:rsid w:val="007B2869"/>
    <w:rsid w:val="00947439"/>
    <w:rsid w:val="009B76F3"/>
    <w:rsid w:val="00A13221"/>
    <w:rsid w:val="00A70026"/>
    <w:rsid w:val="00AC52EC"/>
    <w:rsid w:val="00AF782C"/>
    <w:rsid w:val="00CE5D0C"/>
    <w:rsid w:val="00D81451"/>
    <w:rsid w:val="00D82C7F"/>
    <w:rsid w:val="00D87BF6"/>
    <w:rsid w:val="00EA0C37"/>
    <w:rsid w:val="00FC460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F460E"/>
    <w:pPr>
      <w:suppressAutoHyphens/>
      <w:ind w:left="720"/>
      <w:contextualSpacing/>
    </w:pPr>
    <w:rPr>
      <w:rFonts w:ascii="Calibri" w:eastAsia="Calibri" w:hAnsi="Calibri" w:cs="Calibri"/>
      <w:lang w:val="en-SG" w:eastAsia="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E8103B-6041-480B-B61A-548363DF41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Pages>
  <Words>2090</Words>
  <Characters>11913</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27</cp:revision>
  <dcterms:created xsi:type="dcterms:W3CDTF">2021-12-17T10:19:00Z</dcterms:created>
  <dcterms:modified xsi:type="dcterms:W3CDTF">2021-12-17T11:45:00Z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f4a2695b-496c-3345-a53e-6b551c84943c</vt:lpwstr>
  </property>
  <property fmtid="{D5CDD505-2E9C-101B-9397-08002B2CF9AE}" pid="24" name="Mendeley Citation Style_1">
    <vt:lpwstr>http://www.zotero.org/styles/vancouver</vt:lpwstr>
  </property>
</Properties>
</file>