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B81A58" w:rsidP="00494130">
      <w:pPr>
        <w:pStyle w:val="1"/>
        <w:spacing w:before="170"/>
        <w:ind w:left="0"/>
      </w:pPr>
      <w:r w:rsidRPr="00B81A58">
        <w:rPr>
          <w:color w:val="337AB7"/>
        </w:rPr>
        <w:t>New possibilities for detecting liver metabolic dysfunction and non-pharmacological effects on it.</w:t>
      </w:r>
    </w:p>
    <w:p w:rsidR="005973B9" w:rsidRDefault="00B81A58" w:rsidP="005973B9">
      <w:pPr>
        <w:pStyle w:val="a3"/>
        <w:spacing w:before="73" w:line="198" w:lineRule="exact"/>
        <w:ind w:left="100" w:right="5987"/>
        <w:rPr>
          <w:rFonts w:ascii="Arial"/>
        </w:rPr>
      </w:pPr>
      <w:r w:rsidRPr="00B81A58">
        <w:rPr>
          <w:rFonts w:ascii="Arial"/>
        </w:rPr>
        <w:t xml:space="preserve">Yury Marakhouski, Olga </w:t>
      </w:r>
      <w:proofErr w:type="spellStart"/>
      <w:r w:rsidRPr="00B81A58">
        <w:rPr>
          <w:rFonts w:ascii="Arial"/>
        </w:rPr>
        <w:t>Zharskaya</w:t>
      </w:r>
      <w:proofErr w:type="spellEnd"/>
      <w:r w:rsidRPr="00B81A58">
        <w:rPr>
          <w:rFonts w:ascii="Arial"/>
        </w:rPr>
        <w:t>. Department of Gastroenterology and Nutrition Belarus</w:t>
      </w:r>
      <w:r w:rsidR="00700EE5">
        <w:rPr>
          <w:rFonts w:ascii="Arial"/>
        </w:rPr>
        <w:t>ian</w:t>
      </w:r>
      <w:r w:rsidRPr="00B81A58">
        <w:rPr>
          <w:rFonts w:ascii="Arial"/>
        </w:rPr>
        <w:t xml:space="preserve"> Medical Academy of Postgraduate Education (</w:t>
      </w:r>
      <w:proofErr w:type="spellStart"/>
      <w:r w:rsidRPr="00B81A58">
        <w:rPr>
          <w:rFonts w:ascii="Arial"/>
        </w:rPr>
        <w:t>BelMAPE</w:t>
      </w:r>
      <w:proofErr w:type="spellEnd"/>
      <w:r w:rsidRPr="00B81A58">
        <w:rPr>
          <w:rFonts w:ascii="Arial"/>
        </w:rPr>
        <w:t>), Minsk, Belarus</w:t>
      </w:r>
    </w:p>
    <w:p w:rsidR="00AE3E37" w:rsidRDefault="00AE3E37">
      <w:pPr>
        <w:pStyle w:val="a3"/>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3"/>
        <w:spacing w:before="147"/>
        <w:jc w:val="both"/>
      </w:pPr>
      <w:r>
        <w:rPr>
          <w:color w:val="BF5A14"/>
        </w:rPr>
        <w:t>Abstract</w:t>
      </w:r>
      <w:r w:rsidR="00404E5B">
        <w:rPr>
          <w:color w:val="BF5A14"/>
        </w:rPr>
        <w:t xml:space="preserve"> (300 word limit)</w:t>
      </w:r>
    </w:p>
    <w:p w:rsidR="00AE3E37" w:rsidRDefault="00E72462" w:rsidP="00B81A58">
      <w:pPr>
        <w:pStyle w:val="a3"/>
        <w:spacing w:before="90" w:line="280" w:lineRule="auto"/>
        <w:ind w:left="100"/>
        <w:jc w:val="both"/>
      </w:pPr>
      <w:r w:rsidRPr="00E72462">
        <w:t xml:space="preserve">The criteria for liver metabolic dysfunction remain highly controversial. At the same time, metabolic liver dysfunction is directly related </w:t>
      </w:r>
      <w:r w:rsidR="00700EE5">
        <w:t>to metabolic flexibility. Aim: To d</w:t>
      </w:r>
      <w:r w:rsidRPr="00E72462">
        <w:t xml:space="preserve">etermine the possibility of alternative liver ketogenesis </w:t>
      </w:r>
      <w:r w:rsidR="00700EE5" w:rsidRPr="00700EE5">
        <w:t xml:space="preserve">induction </w:t>
      </w:r>
      <w:r w:rsidRPr="00E72462">
        <w:t>and assess the effect of a special variant of drinking water on this process. Methods. Part1: Search and analysis</w:t>
      </w:r>
      <w:r w:rsidR="00700EE5">
        <w:t xml:space="preserve"> </w:t>
      </w:r>
      <w:proofErr w:type="gramStart"/>
      <w:r w:rsidR="00700EE5">
        <w:t xml:space="preserve">of </w:t>
      </w:r>
      <w:r w:rsidRPr="00E72462">
        <w:t xml:space="preserve"> publications</w:t>
      </w:r>
      <w:proofErr w:type="gramEnd"/>
      <w:r w:rsidRPr="00E72462">
        <w:t xml:space="preserve"> on ketogenic</w:t>
      </w:r>
      <w:r w:rsidR="00700EE5">
        <w:t xml:space="preserve"> amino acids</w:t>
      </w:r>
      <w:r w:rsidR="0021636B">
        <w:t xml:space="preserve"> (AA)</w:t>
      </w:r>
      <w:r w:rsidR="00700EE5">
        <w:t xml:space="preserve"> </w:t>
      </w:r>
      <w:r w:rsidR="006C55B2">
        <w:t>for</w:t>
      </w:r>
      <w:r w:rsidR="00700EE5">
        <w:t xml:space="preserve"> c</w:t>
      </w:r>
      <w:r w:rsidRPr="00E72462">
        <w:t>onducting a clinical study confirming the ketogenic effect of the selected</w:t>
      </w:r>
      <w:r w:rsidR="006C55B2">
        <w:t xml:space="preserve"> AA</w:t>
      </w:r>
      <w:r w:rsidRPr="00E72462">
        <w:t>. Part 2: Drinking water wi</w:t>
      </w:r>
      <w:r w:rsidR="00700EE5">
        <w:t>th special properties (effect on the</w:t>
      </w:r>
      <w:r w:rsidRPr="00E72462">
        <w:t xml:space="preserve"> body metabolically active components) and their confirmation in preclinical and clinical studies. Part 3: Selective induction of hepatic ketosis before and after 14 days of water intake</w:t>
      </w:r>
      <w:r w:rsidR="0021636B">
        <w:t>.</w:t>
      </w:r>
      <w:r w:rsidRPr="00E72462">
        <w:t xml:space="preserve"> Results</w:t>
      </w:r>
      <w:r w:rsidR="0021636B">
        <w:t>. Part1: L-lysine is</w:t>
      </w:r>
      <w:r w:rsidRPr="00E72462">
        <w:t xml:space="preserve"> predominantly indicated as </w:t>
      </w:r>
      <w:r w:rsidR="0021636B">
        <w:t xml:space="preserve">a </w:t>
      </w:r>
      <w:r w:rsidRPr="00E72462">
        <w:t>ketogenic</w:t>
      </w:r>
      <w:r w:rsidR="00BA16A2">
        <w:t xml:space="preserve"> AA, b</w:t>
      </w:r>
      <w:r w:rsidR="0021636B">
        <w:t>ut</w:t>
      </w:r>
      <w:r w:rsidRPr="00E72462">
        <w:t xml:space="preserve"> the ketogenic effect of lysine </w:t>
      </w:r>
      <w:r w:rsidR="0021636B">
        <w:t xml:space="preserve">was </w:t>
      </w:r>
      <w:r w:rsidRPr="00E72462">
        <w:t xml:space="preserve">not </w:t>
      </w:r>
      <w:r w:rsidR="00BA16A2">
        <w:t>described</w:t>
      </w:r>
      <w:r w:rsidR="0021636B">
        <w:t xml:space="preserve"> in humans</w:t>
      </w:r>
      <w:r w:rsidRPr="00E72462">
        <w:t xml:space="preserve">. Clinical study showed: Area Under Curve (AUC) at lysine doses 1,0 g and 2,0 g was 1155 and 5070, maximum ketones (breath test) on 120 min in both doses was 16 ppm at 1,0 g and 46 ppm at 2,0g. Ketosis index gave the following results in ppm/minute: </w:t>
      </w:r>
      <w:r w:rsidR="0021636B">
        <w:rPr>
          <w:rFonts w:ascii="Calibri" w:hAnsi="Calibri" w:cs="Calibri"/>
        </w:rPr>
        <w:t>in</w:t>
      </w:r>
      <w:r w:rsidRPr="00E72462">
        <w:t xml:space="preserve"> 30% </w:t>
      </w:r>
      <w:r w:rsidR="0021636B">
        <w:t xml:space="preserve">cases </w:t>
      </w:r>
      <w:r w:rsidR="00BA16A2">
        <w:t>– 1,</w:t>
      </w:r>
      <w:r w:rsidRPr="00E72462">
        <w:t>0 and more (fast inductors), 0,1</w:t>
      </w:r>
      <w:r w:rsidR="006C55B2">
        <w:t xml:space="preserve"> - </w:t>
      </w:r>
      <w:r w:rsidRPr="00E72462">
        <w:t xml:space="preserve">0,4 (medium inductors) and with </w:t>
      </w:r>
      <w:r w:rsidR="0021636B">
        <w:t xml:space="preserve">the </w:t>
      </w:r>
      <w:r w:rsidRPr="00E72462">
        <w:t xml:space="preserve">absence of ketosis </w:t>
      </w:r>
      <w:r w:rsidR="006C55B2">
        <w:t xml:space="preserve">- </w:t>
      </w:r>
      <w:r w:rsidRPr="00E72462">
        <w:t xml:space="preserve">slow inductors.  Part 2: We selected </w:t>
      </w:r>
      <w:r w:rsidR="006C55B2">
        <w:t xml:space="preserve">the </w:t>
      </w:r>
      <w:r w:rsidRPr="00E72462">
        <w:t>drinking water (DWP) after special processing (details are not disclosed, patent is being filed). In groups of animals (rats) that received DWP</w:t>
      </w:r>
      <w:r w:rsidR="00337FA5">
        <w:t>,</w:t>
      </w:r>
      <w:r w:rsidRPr="00E72462">
        <w:t xml:space="preserve"> the survival rate after </w:t>
      </w:r>
      <w:r w:rsidR="006C55B2" w:rsidRPr="006C55B2">
        <w:t xml:space="preserve">radiation exposure </w:t>
      </w:r>
      <w:r w:rsidR="006C55B2">
        <w:t>(</w:t>
      </w:r>
      <w:r w:rsidRPr="00E72462">
        <w:t xml:space="preserve">dose of 5 </w:t>
      </w:r>
      <w:proofErr w:type="spellStart"/>
      <w:r w:rsidRPr="00E72462">
        <w:t>Gy</w:t>
      </w:r>
      <w:proofErr w:type="spellEnd"/>
      <w:r w:rsidR="006C55B2">
        <w:t>)</w:t>
      </w:r>
      <w:r w:rsidRPr="00E72462">
        <w:t xml:space="preserve"> increased by 30%, compared with the control group (water with same composition</w:t>
      </w:r>
      <w:r w:rsidR="00337FA5">
        <w:t>). R</w:t>
      </w:r>
      <w:r w:rsidRPr="00E72462">
        <w:t xml:space="preserve">esults in animals with DWP </w:t>
      </w:r>
      <w:r w:rsidR="0021636B">
        <w:t xml:space="preserve">showed </w:t>
      </w:r>
      <w:r w:rsidRPr="00E72462">
        <w:t xml:space="preserve">an improvement in </w:t>
      </w:r>
      <w:r w:rsidR="0021636B">
        <w:t>the</w:t>
      </w:r>
      <w:r w:rsidRPr="00E72462">
        <w:t xml:space="preserve"> whole series of metabolic parameters. Clinical study. The total response to the </w:t>
      </w:r>
      <w:r w:rsidR="0021636B" w:rsidRPr="0021636B">
        <w:t xml:space="preserve">DWP </w:t>
      </w:r>
      <w:r w:rsidRPr="00E72462">
        <w:t>intake in terms of active cell mass</w:t>
      </w:r>
      <w:r w:rsidR="00BA16A2">
        <w:t xml:space="preserve"> </w:t>
      </w:r>
      <w:r w:rsidRPr="00E72462">
        <w:t xml:space="preserve">(ACM), intracellular fluid (ICF) and phase angle </w:t>
      </w:r>
      <w:r w:rsidR="009E1B3E">
        <w:t xml:space="preserve">impedance </w:t>
      </w:r>
      <w:r w:rsidRPr="00E72462">
        <w:t>characterize</w:t>
      </w:r>
      <w:r w:rsidR="00337FA5">
        <w:t>d</w:t>
      </w:r>
      <w:r w:rsidRPr="00E72462">
        <w:t xml:space="preserve"> th</w:t>
      </w:r>
      <w:r w:rsidR="00BA16A2">
        <w:t>at</w:t>
      </w:r>
      <w:r w:rsidRPr="00E72462">
        <w:t xml:space="preserve"> water as having a stabilizing effect on the ACM of the body, ICF and cell membranes hydration. The incidence of altered blood</w:t>
      </w:r>
      <w:r w:rsidR="009E1B3E">
        <w:t xml:space="preserve"> glucose values (above 5.5 mmol/</w:t>
      </w:r>
      <w:r w:rsidRPr="00E72462">
        <w:t>l) significant</w:t>
      </w:r>
      <w:r w:rsidR="009E1B3E">
        <w:t>ly</w:t>
      </w:r>
      <w:r w:rsidRPr="00E72462">
        <w:t xml:space="preserve"> decrease</w:t>
      </w:r>
      <w:r w:rsidR="009E1B3E">
        <w:t>d</w:t>
      </w:r>
      <w:r w:rsidRPr="00E72462">
        <w:t xml:space="preserve"> on</w:t>
      </w:r>
      <w:r w:rsidR="009E1B3E">
        <w:t xml:space="preserve"> the</w:t>
      </w:r>
      <w:r w:rsidRPr="00E72462">
        <w:t xml:space="preserve"> 28-day course of DWP intake. The same results were obtained in the incidence of altered liver biomarkers. Part 3: Selective induction of hepatic ketosis before and after 14 days </w:t>
      </w:r>
      <w:r w:rsidR="00337FA5">
        <w:t>of DWP intake. We calculated a</w:t>
      </w:r>
      <w:r w:rsidRPr="00E72462">
        <w:t xml:space="preserve"> ketosis coefficient</w:t>
      </w:r>
      <w:r w:rsidR="00337FA5">
        <w:t xml:space="preserve"> (KC)</w:t>
      </w:r>
      <w:r w:rsidRPr="00E72462">
        <w:t>: the i</w:t>
      </w:r>
      <w:bookmarkStart w:id="0" w:name="_GoBack"/>
      <w:bookmarkEnd w:id="0"/>
      <w:r w:rsidRPr="00E72462">
        <w:t xml:space="preserve">ntensity of ketosis multiplied by 100 and divided by the active cells body </w:t>
      </w:r>
      <w:r w:rsidR="00337FA5">
        <w:t xml:space="preserve">mass </w:t>
      </w:r>
      <w:r w:rsidRPr="00E72462">
        <w:t xml:space="preserve">(bioimpedance detected) in kg. The </w:t>
      </w:r>
      <w:r w:rsidR="006C55B2">
        <w:t xml:space="preserve">median </w:t>
      </w:r>
      <w:r w:rsidR="00337FA5">
        <w:t xml:space="preserve">KC was </w:t>
      </w:r>
      <w:r w:rsidRPr="00E72462">
        <w:t>2,8 (</w:t>
      </w:r>
      <w:r w:rsidR="009E1B3E">
        <w:t xml:space="preserve">25/75 </w:t>
      </w:r>
      <w:r w:rsidR="009E1B3E">
        <w:rPr>
          <w:rFonts w:asciiTheme="minorHAnsi" w:hAnsiTheme="minorHAnsi"/>
        </w:rPr>
        <w:t>Quartiles</w:t>
      </w:r>
      <w:r w:rsidRPr="00E72462">
        <w:t xml:space="preserve"> = 2,1 – 5,9). </w:t>
      </w:r>
      <w:r w:rsidR="00337FA5">
        <w:t>It was determined, that the patients with</w:t>
      </w:r>
      <w:r w:rsidRPr="00E72462">
        <w:t xml:space="preserve"> a </w:t>
      </w:r>
      <w:r w:rsidR="00337FA5">
        <w:t>KC</w:t>
      </w:r>
      <w:r w:rsidR="006C55B2">
        <w:t xml:space="preserve"> 2.0 and </w:t>
      </w:r>
      <w:r w:rsidR="00337FA5">
        <w:t xml:space="preserve">lower </w:t>
      </w:r>
      <w:r w:rsidRPr="00E72462">
        <w:t>ha</w:t>
      </w:r>
      <w:r w:rsidR="00337FA5">
        <w:t>d</w:t>
      </w:r>
      <w:r w:rsidRPr="00E72462">
        <w:t xml:space="preserve"> liver pathology – MAFLD. </w:t>
      </w:r>
      <w:r w:rsidR="00337FA5">
        <w:t xml:space="preserve">According to the results, </w:t>
      </w:r>
      <w:r w:rsidRPr="00E72462">
        <w:t>the L-lysine k</w:t>
      </w:r>
      <w:r w:rsidR="00BA16A2">
        <w:t>etosis induction test is valuable</w:t>
      </w:r>
      <w:r w:rsidR="00C81645">
        <w:t xml:space="preserve"> in</w:t>
      </w:r>
      <w:r w:rsidRPr="00E72462">
        <w:t xml:space="preserve"> the liver metabolic flexibility</w:t>
      </w:r>
      <w:r w:rsidR="00C81645">
        <w:t xml:space="preserve"> assessment</w:t>
      </w:r>
      <w:r w:rsidRPr="00E72462">
        <w:t>, and DWP drinking increases the liver metabolic flexibility. Conclusion. A simple and non-invasive method has been developed for liver metabolic status</w:t>
      </w:r>
      <w:r w:rsidR="00D02E61" w:rsidRPr="00D02E61">
        <w:rPr>
          <w:rFonts w:asciiTheme="minorHAnsi" w:hAnsiTheme="minorHAnsi"/>
        </w:rPr>
        <w:t xml:space="preserve"> </w:t>
      </w:r>
      <w:r w:rsidR="00D02E61">
        <w:t>evaluation</w:t>
      </w:r>
      <w:r w:rsidRPr="00E72462">
        <w:t xml:space="preserve">. The </w:t>
      </w:r>
      <w:r w:rsidR="00BA16A2">
        <w:t xml:space="preserve">liver metabolic potential </w:t>
      </w:r>
      <w:r w:rsidRPr="00E72462">
        <w:t>can be improved by</w:t>
      </w:r>
      <w:r w:rsidR="00BA16A2">
        <w:t xml:space="preserve"> the</w:t>
      </w:r>
      <w:r w:rsidRPr="00E72462">
        <w:t xml:space="preserve"> regular intake of </w:t>
      </w:r>
      <w:r w:rsidR="00C81645">
        <w:t xml:space="preserve">a </w:t>
      </w:r>
      <w:r w:rsidRPr="00E72462">
        <w:t>special drinking water.</w:t>
      </w:r>
    </w:p>
    <w:p w:rsidR="00AE3E37" w:rsidRPr="007D17D1" w:rsidRDefault="00A9710C" w:rsidP="007D17D1">
      <w:pPr>
        <w:pStyle w:val="3"/>
        <w:spacing w:before="74"/>
      </w:pPr>
      <w:r>
        <w:rPr>
          <w:b w:val="0"/>
        </w:rPr>
        <w:br w:type="column"/>
      </w:r>
      <w:r>
        <w:rPr>
          <w:color w:val="BF5A14"/>
        </w:rPr>
        <w:t>Image</w:t>
      </w:r>
      <w:r w:rsidR="007223A8">
        <w:rPr>
          <w:b w:val="0"/>
          <w:noProof/>
          <w:sz w:val="16"/>
          <w:lang w:val="ru-RU" w:eastAsia="ru-RU"/>
        </w:rPr>
        <w:drawing>
          <wp:inline distT="0" distB="0" distL="0" distR="0" wp14:anchorId="3A3A1D50">
            <wp:extent cx="2969895" cy="1571028"/>
            <wp:effectExtent l="19050" t="19050" r="20955" b="1016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73901" cy="1573147"/>
                    </a:xfrm>
                    <a:prstGeom prst="rect">
                      <a:avLst/>
                    </a:prstGeom>
                    <a:noFill/>
                    <a:ln>
                      <a:solidFill>
                        <a:schemeClr val="tx1"/>
                      </a:solid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3F6260" w:rsidRPr="003F6260" w:rsidRDefault="003F6260" w:rsidP="003F6260">
      <w:pPr>
        <w:pStyle w:val="a5"/>
        <w:numPr>
          <w:ilvl w:val="0"/>
          <w:numId w:val="3"/>
        </w:numPr>
        <w:tabs>
          <w:tab w:val="left" w:pos="384"/>
        </w:tabs>
        <w:spacing w:before="103" w:line="216" w:lineRule="exact"/>
        <w:ind w:right="138" w:hanging="283"/>
        <w:rPr>
          <w:sz w:val="14"/>
        </w:rPr>
      </w:pPr>
      <w:r w:rsidRPr="003F6260">
        <w:rPr>
          <w:sz w:val="18"/>
        </w:rPr>
        <w:t xml:space="preserve">Metabolic Catabolism of Individual Amino Acids/ P. </w:t>
      </w:r>
      <w:proofErr w:type="spellStart"/>
      <w:r w:rsidRPr="003F6260">
        <w:rPr>
          <w:sz w:val="18"/>
        </w:rPr>
        <w:t>Newsholme</w:t>
      </w:r>
      <w:proofErr w:type="spellEnd"/>
      <w:r w:rsidRPr="003F6260">
        <w:rPr>
          <w:sz w:val="18"/>
        </w:rPr>
        <w:t xml:space="preserve"> [et al.] in Comprehensive Biotechnology (Second Edition), 2011</w:t>
      </w:r>
      <w:r w:rsidR="00C6258E">
        <w:rPr>
          <w:sz w:val="18"/>
        </w:rPr>
        <w:t>.</w:t>
      </w:r>
    </w:p>
    <w:p w:rsidR="003F6260" w:rsidRPr="003F6260" w:rsidRDefault="00C6258E" w:rsidP="003F6260">
      <w:pPr>
        <w:pStyle w:val="a3"/>
        <w:spacing w:before="85" w:line="216" w:lineRule="exact"/>
        <w:ind w:left="383" w:right="138" w:hanging="284"/>
        <w:jc w:val="both"/>
        <w:rPr>
          <w:rFonts w:ascii="Calibri" w:hAnsi="Calibri"/>
        </w:rPr>
      </w:pPr>
      <w:r>
        <w:rPr>
          <w:rFonts w:ascii="Calibri" w:hAnsi="Calibri"/>
        </w:rPr>
        <w:t xml:space="preserve">2. Gerald </w:t>
      </w:r>
      <w:proofErr w:type="spellStart"/>
      <w:r>
        <w:rPr>
          <w:rFonts w:ascii="Calibri" w:hAnsi="Calibri"/>
        </w:rPr>
        <w:t>Litwack</w:t>
      </w:r>
      <w:proofErr w:type="spellEnd"/>
      <w:r>
        <w:rPr>
          <w:rFonts w:ascii="Calibri" w:hAnsi="Calibri"/>
        </w:rPr>
        <w:t xml:space="preserve">. </w:t>
      </w:r>
      <w:r w:rsidR="003F6260" w:rsidRPr="003F6260">
        <w:rPr>
          <w:rFonts w:ascii="Calibri" w:hAnsi="Calibri"/>
        </w:rPr>
        <w:t>Metabolism of Amino Acids., in Human Biochemistry, 2018</w:t>
      </w:r>
      <w:r>
        <w:rPr>
          <w:rFonts w:ascii="Calibri" w:hAnsi="Calibri"/>
        </w:rPr>
        <w:t>.</w:t>
      </w:r>
    </w:p>
    <w:p w:rsidR="003F6260" w:rsidRPr="003F6260" w:rsidRDefault="003F6260" w:rsidP="003F6260">
      <w:pPr>
        <w:pStyle w:val="a3"/>
        <w:spacing w:before="85" w:line="216" w:lineRule="exact"/>
        <w:ind w:left="383" w:right="138" w:hanging="284"/>
        <w:jc w:val="both"/>
        <w:rPr>
          <w:rFonts w:ascii="Calibri" w:hAnsi="Calibri"/>
        </w:rPr>
      </w:pPr>
      <w:r w:rsidRPr="003F6260">
        <w:rPr>
          <w:rFonts w:ascii="Calibri" w:hAnsi="Calibri"/>
        </w:rPr>
        <w:t>3.</w:t>
      </w:r>
      <w:r w:rsidR="00C6258E">
        <w:rPr>
          <w:rFonts w:ascii="Calibri" w:hAnsi="Calibri"/>
        </w:rPr>
        <w:t xml:space="preserve">   Dwight E Matthews.</w:t>
      </w:r>
      <w:r w:rsidRPr="003F6260">
        <w:rPr>
          <w:rFonts w:ascii="Calibri" w:hAnsi="Calibri"/>
        </w:rPr>
        <w:t xml:space="preserve"> Review of Lysine Metabolism with a Focus on Humans</w:t>
      </w:r>
      <w:r w:rsidR="00C6258E">
        <w:rPr>
          <w:rFonts w:ascii="Calibri" w:hAnsi="Calibri"/>
        </w:rPr>
        <w:t>. The Journal of Nutrition. 2020</w:t>
      </w:r>
      <w:r w:rsidR="00C6258E" w:rsidRPr="00D02E61">
        <w:rPr>
          <w:rFonts w:ascii="Calibri" w:hAnsi="Calibri"/>
        </w:rPr>
        <w:t>;</w:t>
      </w:r>
      <w:r w:rsidRPr="003F6260">
        <w:rPr>
          <w:rFonts w:ascii="Calibri" w:hAnsi="Calibri"/>
        </w:rPr>
        <w:t xml:space="preserve"> Vol</w:t>
      </w:r>
      <w:r w:rsidR="00C6258E">
        <w:rPr>
          <w:rFonts w:ascii="Calibri" w:hAnsi="Calibri"/>
        </w:rPr>
        <w:t xml:space="preserve">. </w:t>
      </w:r>
      <w:r w:rsidRPr="003F6260">
        <w:rPr>
          <w:rFonts w:ascii="Calibri" w:hAnsi="Calibri"/>
        </w:rPr>
        <w:t xml:space="preserve">150, </w:t>
      </w:r>
      <w:r w:rsidR="00BA16A2">
        <w:rPr>
          <w:rFonts w:ascii="Calibri" w:hAnsi="Calibri"/>
        </w:rPr>
        <w:t>Suppl</w:t>
      </w:r>
      <w:r w:rsidR="00C6258E">
        <w:rPr>
          <w:rFonts w:ascii="Calibri" w:hAnsi="Calibri"/>
        </w:rPr>
        <w:t>.</w:t>
      </w:r>
      <w:r w:rsidR="00BA16A2">
        <w:rPr>
          <w:rFonts w:ascii="Calibri" w:hAnsi="Calibri"/>
        </w:rPr>
        <w:t xml:space="preserve"> </w:t>
      </w:r>
      <w:r w:rsidRPr="003F6260">
        <w:rPr>
          <w:rFonts w:ascii="Calibri" w:hAnsi="Calibri"/>
        </w:rPr>
        <w:t>1, P</w:t>
      </w:r>
      <w:r w:rsidR="00C6258E">
        <w:rPr>
          <w:rFonts w:ascii="Calibri" w:hAnsi="Calibri"/>
        </w:rPr>
        <w:t>.</w:t>
      </w:r>
      <w:r w:rsidRPr="003F6260">
        <w:rPr>
          <w:rFonts w:ascii="Calibri" w:hAnsi="Calibri"/>
        </w:rPr>
        <w:t xml:space="preserve"> 2548S–2555S</w:t>
      </w:r>
      <w:r w:rsidR="00C6258E">
        <w:rPr>
          <w:rFonts w:ascii="Calibri" w:hAnsi="Calibri"/>
        </w:rPr>
        <w:t>.</w:t>
      </w:r>
    </w:p>
    <w:p w:rsidR="003F6260" w:rsidRPr="003F6260" w:rsidRDefault="003F6260" w:rsidP="003F6260">
      <w:pPr>
        <w:pStyle w:val="a3"/>
        <w:spacing w:before="85" w:line="216" w:lineRule="exact"/>
        <w:ind w:left="383" w:right="138" w:hanging="284"/>
        <w:jc w:val="both"/>
        <w:rPr>
          <w:rFonts w:ascii="Calibri" w:hAnsi="Calibri"/>
        </w:rPr>
      </w:pPr>
      <w:r w:rsidRPr="003F6260">
        <w:rPr>
          <w:rFonts w:ascii="Calibri" w:hAnsi="Calibri"/>
        </w:rPr>
        <w:t xml:space="preserve">4. </w:t>
      </w:r>
      <w:r w:rsidR="00C6258E">
        <w:rPr>
          <w:rFonts w:ascii="Calibri" w:hAnsi="Calibri"/>
        </w:rPr>
        <w:t xml:space="preserve"> </w:t>
      </w:r>
      <w:r w:rsidRPr="003F6260">
        <w:rPr>
          <w:rFonts w:ascii="Calibri" w:hAnsi="Calibri"/>
        </w:rPr>
        <w:t xml:space="preserve">Olson KA, Schell JC, Rutter J. Pyruvate and metabolic ﬂexibility: illuminating a </w:t>
      </w:r>
      <w:proofErr w:type="spellStart"/>
      <w:r w:rsidRPr="003F6260">
        <w:rPr>
          <w:rFonts w:ascii="Calibri" w:hAnsi="Calibri"/>
        </w:rPr>
        <w:t>pathtoward</w:t>
      </w:r>
      <w:proofErr w:type="spellEnd"/>
      <w:r w:rsidRPr="003F6260">
        <w:rPr>
          <w:rFonts w:ascii="Calibri" w:hAnsi="Calibri"/>
        </w:rPr>
        <w:t xml:space="preserve"> selective cancer therapies. Trends </w:t>
      </w:r>
      <w:proofErr w:type="spellStart"/>
      <w:r w:rsidRPr="003F6260">
        <w:rPr>
          <w:rFonts w:ascii="Calibri" w:hAnsi="Calibri"/>
        </w:rPr>
        <w:t>Biochem</w:t>
      </w:r>
      <w:proofErr w:type="spellEnd"/>
      <w:r w:rsidRPr="003F6260">
        <w:rPr>
          <w:rFonts w:ascii="Calibri" w:hAnsi="Calibri"/>
        </w:rPr>
        <w:t xml:space="preserve"> Sci. 2016;</w:t>
      </w:r>
      <w:r w:rsidR="00C6258E" w:rsidRPr="00C6258E">
        <w:rPr>
          <w:rFonts w:ascii="Calibri" w:hAnsi="Calibri"/>
        </w:rPr>
        <w:t xml:space="preserve"> </w:t>
      </w:r>
      <w:r w:rsidR="00C6258E">
        <w:rPr>
          <w:rFonts w:ascii="Calibri" w:hAnsi="Calibri"/>
        </w:rPr>
        <w:t xml:space="preserve">Vol. </w:t>
      </w:r>
      <w:r w:rsidRPr="003F6260">
        <w:rPr>
          <w:rFonts w:ascii="Calibri" w:hAnsi="Calibri"/>
        </w:rPr>
        <w:t>41</w:t>
      </w:r>
      <w:r w:rsidR="00C6258E">
        <w:rPr>
          <w:rFonts w:ascii="Calibri" w:hAnsi="Calibri"/>
        </w:rPr>
        <w:t xml:space="preserve">, Suppl. </w:t>
      </w:r>
      <w:r w:rsidRPr="003F6260">
        <w:rPr>
          <w:rFonts w:ascii="Calibri" w:hAnsi="Calibri"/>
        </w:rPr>
        <w:t>3</w:t>
      </w:r>
      <w:r w:rsidR="00C6258E">
        <w:rPr>
          <w:rFonts w:ascii="Calibri" w:hAnsi="Calibri"/>
        </w:rPr>
        <w:t xml:space="preserve">, P. </w:t>
      </w:r>
      <w:r w:rsidRPr="003F6260">
        <w:rPr>
          <w:rFonts w:ascii="Calibri" w:hAnsi="Calibri"/>
        </w:rPr>
        <w:t>219–230</w:t>
      </w:r>
      <w:r w:rsidR="00C6258E">
        <w:rPr>
          <w:rFonts w:ascii="Calibri" w:hAnsi="Calibri"/>
        </w:rPr>
        <w:t>.</w:t>
      </w:r>
    </w:p>
    <w:p w:rsidR="005973B9" w:rsidRDefault="003F6260" w:rsidP="003F6260">
      <w:pPr>
        <w:pStyle w:val="a3"/>
        <w:spacing w:before="85" w:line="216" w:lineRule="exact"/>
        <w:ind w:left="383" w:right="138" w:hanging="284"/>
        <w:jc w:val="both"/>
        <w:rPr>
          <w:rFonts w:ascii="Calibri" w:hAnsi="Calibri"/>
        </w:rPr>
      </w:pPr>
      <w:r w:rsidRPr="003F6260">
        <w:rPr>
          <w:rFonts w:ascii="Calibri" w:hAnsi="Calibri"/>
        </w:rPr>
        <w:t xml:space="preserve">5. </w:t>
      </w:r>
      <w:r w:rsidR="00C6258E">
        <w:rPr>
          <w:rFonts w:ascii="Calibri" w:hAnsi="Calibri"/>
        </w:rPr>
        <w:t xml:space="preserve">  </w:t>
      </w:r>
      <w:r w:rsidRPr="003F6260">
        <w:rPr>
          <w:rFonts w:ascii="Calibri" w:hAnsi="Calibri"/>
        </w:rPr>
        <w:t xml:space="preserve">Reuben L. Smith, Maarten R. </w:t>
      </w:r>
      <w:proofErr w:type="spellStart"/>
      <w:r w:rsidRPr="003F6260">
        <w:rPr>
          <w:rFonts w:ascii="Calibri" w:hAnsi="Calibri"/>
        </w:rPr>
        <w:t>Soeters</w:t>
      </w:r>
      <w:proofErr w:type="spellEnd"/>
      <w:r w:rsidRPr="003F6260">
        <w:rPr>
          <w:rFonts w:ascii="Calibri" w:hAnsi="Calibri"/>
        </w:rPr>
        <w:t xml:space="preserve">, et </w:t>
      </w:r>
      <w:proofErr w:type="spellStart"/>
      <w:r w:rsidRPr="003F6260">
        <w:rPr>
          <w:rFonts w:ascii="Calibri" w:hAnsi="Calibri"/>
        </w:rPr>
        <w:t>all.Metabolic</w:t>
      </w:r>
      <w:proofErr w:type="spellEnd"/>
      <w:r w:rsidRPr="003F6260">
        <w:rPr>
          <w:rFonts w:ascii="Calibri" w:hAnsi="Calibri"/>
        </w:rPr>
        <w:t xml:space="preserve"> Flexibility as an Adaptation to Energy Resources and Requirements in Health</w:t>
      </w:r>
      <w:r w:rsidR="00975D8C">
        <w:rPr>
          <w:rFonts w:ascii="Calibri" w:hAnsi="Calibri"/>
        </w:rPr>
        <w:t xml:space="preserve"> and Disease. Endocrine Reviews. 2018</w:t>
      </w:r>
      <w:r w:rsidR="00975D8C">
        <w:rPr>
          <w:rFonts w:ascii="Calibri" w:hAnsi="Calibri"/>
          <w:lang w:val="ru-RU"/>
        </w:rPr>
        <w:t>;</w:t>
      </w:r>
      <w:r w:rsidR="00975D8C">
        <w:rPr>
          <w:rFonts w:ascii="Calibri" w:hAnsi="Calibri"/>
        </w:rPr>
        <w:t xml:space="preserve"> Vol. </w:t>
      </w:r>
      <w:r w:rsidRPr="003F6260">
        <w:rPr>
          <w:rFonts w:ascii="Calibri" w:hAnsi="Calibri"/>
        </w:rPr>
        <w:t>39</w:t>
      </w:r>
      <w:r w:rsidR="00975D8C">
        <w:rPr>
          <w:rFonts w:ascii="Calibri" w:hAnsi="Calibri"/>
        </w:rPr>
        <w:t>, P.</w:t>
      </w:r>
      <w:r w:rsidRPr="003F6260">
        <w:rPr>
          <w:rFonts w:ascii="Calibri" w:hAnsi="Calibri"/>
        </w:rPr>
        <w:t xml:space="preserve"> 489 – 517</w:t>
      </w:r>
      <w:r w:rsidR="00975D8C">
        <w:rPr>
          <w:rFonts w:ascii="Calibri" w:hAnsi="Calibri"/>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val="ru-RU" w:eastAsia="ru-RU"/>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A76B10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ru-RU" w:eastAsia="ru-RU"/>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5657850</wp:posOffset>
                </wp:positionH>
                <wp:positionV relativeFrom="paragraph">
                  <wp:posOffset>55880</wp:posOffset>
                </wp:positionV>
                <wp:extent cx="698500" cy="570230"/>
                <wp:effectExtent l="19050" t="19050" r="2540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850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3F6260" w:rsidP="00A52075">
                            <w:pPr>
                              <w:rPr>
                                <w:b/>
                                <w:color w:val="0000FF"/>
                                <w:lang w:val="en-IN"/>
                              </w:rPr>
                            </w:pPr>
                            <w:r w:rsidRPr="003F6260">
                              <w:rPr>
                                <w:noProof/>
                                <w:lang w:val="ru-RU" w:eastAsia="ru-RU"/>
                              </w:rPr>
                              <w:drawing>
                                <wp:inline distT="0" distB="0" distL="0" distR="0">
                                  <wp:extent cx="391160" cy="391160"/>
                                  <wp:effectExtent l="0" t="0" r="889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1160" cy="39116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A6DCA3" id="Rounded Rectangle 2" o:spid="_x0000_s1026" style="position:absolute;margin-left:445.5pt;margin-top:4.4pt;width:55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" strokecolor="#9bbb59" strokeweight="2.5pt">
                <v:shadow color="#868686"/>
                <v:textbox>
                  <w:txbxContent>
                    <w:p w:rsidR="00A52075" w:rsidRDefault="003F6260" w:rsidP="00A52075">
                      <w:pPr>
                        <w:rPr>
                          <w:b/>
                          <w:color w:val="0000FF"/>
                          <w:lang w:val="en-IN"/>
                        </w:rPr>
                      </w:pPr>
                      <w:r w:rsidRPr="003F6260">
                        <w:rPr>
                          <w:noProof/>
                          <w:lang w:val="ru-RU" w:eastAsia="ru-RU"/>
                        </w:rPr>
                        <w:drawing>
                          <wp:inline distT="0" distB="0" distL="0" distR="0">
                            <wp:extent cx="391160" cy="391160"/>
                            <wp:effectExtent l="0" t="0" r="889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1160" cy="391160"/>
                                    </a:xfrm>
                                    <a:prstGeom prst="rect">
                                      <a:avLst/>
                                    </a:prstGeom>
                                    <a:noFill/>
                                    <a:ln>
                                      <a:noFill/>
                                    </a:ln>
                                  </pic:spPr>
                                </pic:pic>
                              </a:graphicData>
                            </a:graphic>
                          </wp:inline>
                        </w:drawing>
                      </w:r>
                    </w:p>
                  </w:txbxContent>
                </v:textbox>
              </v:roundrect>
            </w:pict>
          </mc:Fallback>
        </mc:AlternateContent>
      </w:r>
      <w:r w:rsidR="008756E6">
        <w:rPr>
          <w:noProof/>
        </w:rPr>
        <w:t xml:space="preserve">              </w:t>
      </w:r>
      <w:r w:rsidR="002700DB">
        <w:rPr>
          <w:noProof/>
          <w:lang w:val="ru-RU" w:eastAsia="ru-RU"/>
        </w:rPr>
        <w:drawing>
          <wp:inline distT="0" distB="0" distL="0" distR="0" wp14:anchorId="0CA6B4C2" wp14:editId="72711FFC">
            <wp:extent cx="446173" cy="546100"/>
            <wp:effectExtent l="0" t="0" r="0" b="635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3566" cy="591867"/>
                    </a:xfrm>
                    <a:prstGeom prst="rect">
                      <a:avLst/>
                    </a:prstGeom>
                    <a:noFill/>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3F6260">
      <w:pPr>
        <w:spacing w:before="41" w:line="154" w:lineRule="exact"/>
        <w:ind w:left="213" w:right="231"/>
        <w:jc w:val="both"/>
        <w:rPr>
          <w:rFonts w:ascii="Arial"/>
          <w:sz w:val="14"/>
        </w:rPr>
      </w:pPr>
      <w:r w:rsidRPr="003F6260">
        <w:rPr>
          <w:rFonts w:ascii="Arial"/>
          <w:sz w:val="14"/>
        </w:rPr>
        <w:t>Dr. Yury Marakhouski. approved as Professor of Clinical Medicine in 2005 year by the Higher Certification Commission of the Council of Ministers of the Republic of Belarus.  He is head of the Department Gastroenterology and Nutrition of the Bel</w:t>
      </w:r>
      <w:r w:rsidR="00700EE5">
        <w:rPr>
          <w:rFonts w:ascii="Arial"/>
          <w:sz w:val="14"/>
        </w:rPr>
        <w:t>a</w:t>
      </w:r>
      <w:r w:rsidRPr="003F6260">
        <w:rPr>
          <w:rFonts w:ascii="Arial"/>
          <w:sz w:val="14"/>
        </w:rPr>
        <w:t xml:space="preserve">russian Medical Academy of Postgraduate Education. He has published more than 30 papers in reputed journals and </w:t>
      </w:r>
      <w:r w:rsidR="00700EE5">
        <w:rPr>
          <w:rFonts w:ascii="Arial"/>
          <w:sz w:val="14"/>
        </w:rPr>
        <w:t xml:space="preserve">is </w:t>
      </w:r>
      <w:r w:rsidRPr="003F6260">
        <w:rPr>
          <w:rFonts w:ascii="Arial"/>
          <w:sz w:val="14"/>
        </w:rPr>
        <w:t>serving as a member of the editorial board of several reputed journals (predominantly in Russia and Belarus). His Current Position is Head of Department of Gastroenterology and</w:t>
      </w:r>
      <w:r w:rsidR="00700EE5">
        <w:rPr>
          <w:rFonts w:ascii="Arial"/>
          <w:sz w:val="14"/>
        </w:rPr>
        <w:t xml:space="preserve"> Nutrition, Bela</w:t>
      </w:r>
      <w:r w:rsidRPr="003F6260">
        <w:rPr>
          <w:rFonts w:ascii="Arial"/>
          <w:sz w:val="14"/>
        </w:rPr>
        <w:t xml:space="preserve">russian Medical Academy </w:t>
      </w:r>
      <w:r w:rsidR="00700EE5">
        <w:rPr>
          <w:rFonts w:ascii="Arial"/>
          <w:sz w:val="14"/>
        </w:rPr>
        <w:t xml:space="preserve">of </w:t>
      </w:r>
      <w:r w:rsidRPr="003F6260">
        <w:rPr>
          <w:rFonts w:ascii="Arial"/>
          <w:sz w:val="14"/>
        </w:rPr>
        <w:t>Postgraduate Education (</w:t>
      </w:r>
      <w:proofErr w:type="spellStart"/>
      <w:r w:rsidRPr="003F6260">
        <w:rPr>
          <w:rFonts w:ascii="Arial"/>
          <w:sz w:val="14"/>
        </w:rPr>
        <w:t>BelMAPE</w:t>
      </w:r>
      <w:proofErr w:type="spellEnd"/>
      <w:r w:rsidRPr="003F6260">
        <w:rPr>
          <w:rFonts w:ascii="Arial"/>
          <w:sz w:val="14"/>
        </w:rPr>
        <w:t xml:space="preserve">).He is principal investigator on numerous clinical (18) and preclinical (6) studies and has been involved in the study of many medication including </w:t>
      </w:r>
      <w:proofErr w:type="spellStart"/>
      <w:r w:rsidRPr="003F6260">
        <w:rPr>
          <w:rFonts w:ascii="Arial"/>
          <w:sz w:val="14"/>
        </w:rPr>
        <w:t>mesalazine</w:t>
      </w:r>
      <w:proofErr w:type="spellEnd"/>
      <w:r w:rsidRPr="003F6260">
        <w:rPr>
          <w:rFonts w:ascii="Arial"/>
          <w:sz w:val="14"/>
        </w:rPr>
        <w:t>, amino acids, anti-TNF</w:t>
      </w:r>
      <w:r w:rsidR="00700EE5">
        <w:rPr>
          <w:rFonts w:ascii="Arial"/>
          <w:sz w:val="14"/>
        </w:rPr>
        <w:t xml:space="preserve"> drugs.</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ac"/>
            <w:rFonts w:ascii="Arial"/>
            <w:sz w:val="14"/>
          </w:rPr>
          <w:t>drXXXXXXX@xxxmail.com</w:t>
        </w:r>
      </w:hyperlink>
    </w:p>
    <w:p w:rsidR="00AE3E37" w:rsidRPr="007940AA" w:rsidRDefault="00292ED9" w:rsidP="007940AA">
      <w:pPr>
        <w:pStyle w:val="a3"/>
        <w:spacing w:before="2"/>
        <w:rPr>
          <w:rFonts w:ascii="Arial"/>
          <w:sz w:val="20"/>
        </w:rPr>
      </w:pPr>
      <w:r>
        <w:rPr>
          <w:noProof/>
          <w:lang w:val="ru-RU" w:eastAsia="ru-RU"/>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F3B67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A9710C" w:rsidRPr="00B21A57">
        <w:rPr>
          <w:rFonts w:ascii="Minion Pro"/>
          <w:b/>
          <w:sz w:val="20"/>
        </w:rPr>
        <w:t>Notes/Comments:</w:t>
      </w:r>
    </w:p>
    <w:p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rsidR="00F046EA" w:rsidRPr="0013708E" w:rsidRDefault="00F046EA" w:rsidP="00F046EA">
      <w:pPr>
        <w:jc w:val="both"/>
        <w:rPr>
          <w:b/>
        </w:rPr>
      </w:pPr>
      <w:r w:rsidRPr="0013708E">
        <w:rPr>
          <w:b/>
        </w:rPr>
        <w:lastRenderedPageBreak/>
        <w:t xml:space="preserve">Presenting author details </w:t>
      </w:r>
    </w:p>
    <w:p w:rsidR="00F046EA" w:rsidRPr="0013708E" w:rsidRDefault="00F046EA" w:rsidP="00F046EA">
      <w:pPr>
        <w:jc w:val="both"/>
      </w:pPr>
      <w:r w:rsidRPr="0013708E">
        <w:t xml:space="preserve">Full name: </w:t>
      </w:r>
      <w:r w:rsidR="00E72462">
        <w:t>Yury Marakhouski</w:t>
      </w:r>
    </w:p>
    <w:p w:rsidR="00F046EA" w:rsidRDefault="00F046EA" w:rsidP="00F046EA">
      <w:pPr>
        <w:jc w:val="both"/>
      </w:pPr>
      <w:r w:rsidRPr="0013708E">
        <w:t>Contact number:</w:t>
      </w:r>
      <w:r w:rsidR="00E72462">
        <w:t xml:space="preserve"> +375447587414</w:t>
      </w:r>
    </w:p>
    <w:p w:rsidR="00F046EA" w:rsidRPr="007D17D1" w:rsidRDefault="00F046EA" w:rsidP="00F046EA">
      <w:pPr>
        <w:jc w:val="both"/>
        <w:rPr>
          <w:rFonts w:asciiTheme="minorHAnsi" w:hAnsiTheme="minorHAnsi"/>
        </w:rPr>
      </w:pPr>
      <w:r>
        <w:t xml:space="preserve">Mail id: </w:t>
      </w:r>
      <w:r w:rsidR="007D17D1">
        <w:t>marakhouski</w:t>
      </w:r>
      <w:r w:rsidR="007D17D1">
        <w:rPr>
          <w:rFonts w:asciiTheme="minorHAnsi" w:hAnsiTheme="minorHAnsi"/>
        </w:rPr>
        <w:t>@yahoo.co.uk</w:t>
      </w:r>
    </w:p>
    <w:p w:rsidR="00AE3E37" w:rsidRDefault="00F046EA" w:rsidP="00017FD0">
      <w:pPr>
        <w:jc w:val="both"/>
        <w:rPr>
          <w:rFonts w:ascii="Minion Pro"/>
          <w:sz w:val="26"/>
        </w:rPr>
      </w:pPr>
      <w:r w:rsidRPr="0013708E">
        <w:t>Category: Oral presentation</w:t>
      </w:r>
      <w:r>
        <w:t xml:space="preserve"> </w:t>
      </w: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29C4" w:rsidRDefault="005029C4">
      <w:r>
        <w:separator/>
      </w:r>
    </w:p>
  </w:endnote>
  <w:endnote w:type="continuationSeparator" w:id="0">
    <w:p w:rsidR="005029C4" w:rsidRDefault="005029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29C4" w:rsidRDefault="005029C4">
      <w:r>
        <w:separator/>
      </w:r>
    </w:p>
  </w:footnote>
  <w:footnote w:type="continuationSeparator" w:id="0">
    <w:p w:rsidR="005029C4" w:rsidRDefault="005029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17FD0"/>
    <w:rsid w:val="000E2911"/>
    <w:rsid w:val="001263DF"/>
    <w:rsid w:val="0021636B"/>
    <w:rsid w:val="002700DB"/>
    <w:rsid w:val="00292ED9"/>
    <w:rsid w:val="00337FA5"/>
    <w:rsid w:val="00351D9B"/>
    <w:rsid w:val="00375928"/>
    <w:rsid w:val="00380299"/>
    <w:rsid w:val="003F6260"/>
    <w:rsid w:val="00404E5B"/>
    <w:rsid w:val="00414F7B"/>
    <w:rsid w:val="004355DC"/>
    <w:rsid w:val="00460302"/>
    <w:rsid w:val="004749B4"/>
    <w:rsid w:val="00494130"/>
    <w:rsid w:val="004F3523"/>
    <w:rsid w:val="005029C4"/>
    <w:rsid w:val="005973B9"/>
    <w:rsid w:val="005B3A56"/>
    <w:rsid w:val="006060CE"/>
    <w:rsid w:val="0061505C"/>
    <w:rsid w:val="0063497F"/>
    <w:rsid w:val="0067148B"/>
    <w:rsid w:val="006C55B2"/>
    <w:rsid w:val="00700EE5"/>
    <w:rsid w:val="00714354"/>
    <w:rsid w:val="007223A8"/>
    <w:rsid w:val="007940AA"/>
    <w:rsid w:val="007D17D1"/>
    <w:rsid w:val="00873DF0"/>
    <w:rsid w:val="008756E6"/>
    <w:rsid w:val="00897EC5"/>
    <w:rsid w:val="008E5477"/>
    <w:rsid w:val="00975D8C"/>
    <w:rsid w:val="009B2D44"/>
    <w:rsid w:val="009B4447"/>
    <w:rsid w:val="009E1B3E"/>
    <w:rsid w:val="00A07E82"/>
    <w:rsid w:val="00A52075"/>
    <w:rsid w:val="00A9710C"/>
    <w:rsid w:val="00AC415B"/>
    <w:rsid w:val="00AE3E37"/>
    <w:rsid w:val="00B21A57"/>
    <w:rsid w:val="00B81A58"/>
    <w:rsid w:val="00BA16A2"/>
    <w:rsid w:val="00C33602"/>
    <w:rsid w:val="00C56C74"/>
    <w:rsid w:val="00C6258E"/>
    <w:rsid w:val="00C71A50"/>
    <w:rsid w:val="00C81645"/>
    <w:rsid w:val="00CD6F55"/>
    <w:rsid w:val="00CE0E21"/>
    <w:rsid w:val="00D02E61"/>
    <w:rsid w:val="00DE3104"/>
    <w:rsid w:val="00DE6170"/>
    <w:rsid w:val="00E30AAC"/>
    <w:rsid w:val="00E4031E"/>
    <w:rsid w:val="00E72462"/>
    <w:rsid w:val="00E87B70"/>
    <w:rsid w:val="00E95D97"/>
    <w:rsid w:val="00F046EA"/>
    <w:rsid w:val="00F60CC5"/>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894523"/>
  <w15:docId w15:val="{54D6459C-DDE7-43F9-AC38-D25A84DFE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490206-F253-4848-8452-E47A59978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748</Words>
  <Characters>4266</Characters>
  <Application>Microsoft Office Word</Application>
  <DocSecurity>0</DocSecurity>
  <Lines>35</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Yury Marakhouski</cp:lastModifiedBy>
  <cp:revision>2</cp:revision>
  <dcterms:created xsi:type="dcterms:W3CDTF">2021-11-08T11:45:00Z</dcterms:created>
  <dcterms:modified xsi:type="dcterms:W3CDTF">2021-11-08T11:45:00Z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