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4C0" w:rsidRDefault="00A204C0" w:rsidP="00A204C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C4561D">
        <w:rPr>
          <w:rFonts w:ascii="Times New Roman" w:hAnsi="Times New Roman"/>
          <w:b/>
          <w:color w:val="000000"/>
          <w:sz w:val="24"/>
          <w:szCs w:val="24"/>
        </w:rPr>
        <w:t xml:space="preserve">Clinical profile, response to therapy and outcome of primary intestinal </w:t>
      </w:r>
      <w:proofErr w:type="spellStart"/>
      <w:r w:rsidRPr="00C4561D">
        <w:rPr>
          <w:rFonts w:ascii="Times New Roman" w:hAnsi="Times New Roman"/>
          <w:b/>
          <w:color w:val="000000"/>
          <w:sz w:val="24"/>
          <w:szCs w:val="24"/>
        </w:rPr>
        <w:t>lymphangiectasia</w:t>
      </w:r>
      <w:proofErr w:type="spellEnd"/>
      <w:r w:rsidRPr="00C4561D">
        <w:rPr>
          <w:rFonts w:ascii="Times New Roman" w:hAnsi="Times New Roman"/>
          <w:b/>
          <w:color w:val="000000"/>
          <w:sz w:val="24"/>
          <w:szCs w:val="24"/>
        </w:rPr>
        <w:t xml:space="preserve"> in children.</w:t>
      </w:r>
      <w:proofErr w:type="gramEnd"/>
      <w:r w:rsidRPr="00C4561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A204C0" w:rsidRDefault="00A204C0" w:rsidP="00A204C0">
      <w:pPr>
        <w:spacing w:after="0" w:line="360" w:lineRule="auto"/>
        <w:jc w:val="both"/>
        <w:rPr>
          <w:rFonts w:ascii="Times New Roman" w:hAnsi="Times New Roman"/>
          <w:color w:val="131313"/>
          <w:sz w:val="24"/>
          <w:szCs w:val="24"/>
        </w:rPr>
      </w:pP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Durga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 Prasad, </w:t>
      </w: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Anshu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 </w:t>
      </w: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Srivastava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, Anil </w:t>
      </w: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Tambe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131313"/>
          <w:sz w:val="24"/>
          <w:szCs w:val="24"/>
        </w:rPr>
        <w:t>Surender</w:t>
      </w:r>
      <w:proofErr w:type="spellEnd"/>
      <w:r>
        <w:rPr>
          <w:rFonts w:ascii="Times New Roman" w:hAnsi="Times New Roman"/>
          <w:color w:val="131313"/>
          <w:sz w:val="24"/>
          <w:szCs w:val="24"/>
        </w:rPr>
        <w:t xml:space="preserve"> Kumar </w:t>
      </w:r>
      <w:proofErr w:type="spellStart"/>
      <w:r>
        <w:rPr>
          <w:rFonts w:ascii="Times New Roman" w:hAnsi="Times New Roman"/>
          <w:color w:val="131313"/>
          <w:sz w:val="24"/>
          <w:szCs w:val="24"/>
        </w:rPr>
        <w:t>Yachha</w:t>
      </w:r>
      <w:proofErr w:type="spellEnd"/>
      <w:r>
        <w:rPr>
          <w:rFonts w:ascii="Times New Roman" w:hAnsi="Times New Roman"/>
          <w:color w:val="131313"/>
          <w:sz w:val="24"/>
          <w:szCs w:val="24"/>
        </w:rPr>
        <w:t xml:space="preserve">, </w:t>
      </w: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Moinak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 </w:t>
      </w: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Sen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 </w:t>
      </w:r>
      <w:proofErr w:type="spellStart"/>
      <w:r w:rsidRPr="00C4561D">
        <w:rPr>
          <w:rFonts w:ascii="Times New Roman" w:hAnsi="Times New Roman"/>
          <w:color w:val="131313"/>
          <w:sz w:val="24"/>
          <w:szCs w:val="24"/>
        </w:rPr>
        <w:t>Sarma</w:t>
      </w:r>
      <w:proofErr w:type="spellEnd"/>
      <w:r w:rsidRPr="00C4561D">
        <w:rPr>
          <w:rFonts w:ascii="Times New Roman" w:hAnsi="Times New Roman"/>
          <w:color w:val="131313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131313"/>
          <w:sz w:val="24"/>
          <w:szCs w:val="24"/>
        </w:rPr>
        <w:t>Ujjal</w:t>
      </w:r>
      <w:proofErr w:type="spellEnd"/>
      <w:r>
        <w:rPr>
          <w:rFonts w:ascii="Times New Roman" w:hAnsi="Times New Roman"/>
          <w:color w:val="13131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131313"/>
          <w:sz w:val="24"/>
          <w:szCs w:val="24"/>
        </w:rPr>
        <w:t>Poddar</w:t>
      </w:r>
      <w:proofErr w:type="spellEnd"/>
      <w:r>
        <w:rPr>
          <w:rFonts w:ascii="Times New Roman" w:hAnsi="Times New Roman"/>
          <w:color w:val="131313"/>
          <w:sz w:val="24"/>
          <w:szCs w:val="24"/>
        </w:rPr>
        <w:t>.</w:t>
      </w:r>
    </w:p>
    <w:p w:rsidR="00A204C0" w:rsidRPr="00C4561D" w:rsidRDefault="00A204C0" w:rsidP="00A204C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C4561D">
        <w:rPr>
          <w:rFonts w:ascii="Times New Roman" w:hAnsi="Times New Roman"/>
          <w:color w:val="131313"/>
          <w:sz w:val="24"/>
          <w:szCs w:val="24"/>
        </w:rPr>
        <w:t>Department</w:t>
      </w:r>
      <w:r>
        <w:rPr>
          <w:rFonts w:ascii="Times New Roman" w:hAnsi="Times New Roman"/>
          <w:color w:val="131313"/>
          <w:sz w:val="24"/>
          <w:szCs w:val="24"/>
        </w:rPr>
        <w:t xml:space="preserve"> of Pediatric Gastroenterology, </w:t>
      </w:r>
      <w:r w:rsidRPr="00C4561D">
        <w:rPr>
          <w:rFonts w:ascii="Times New Roman" w:hAnsi="Times New Roman"/>
          <w:color w:val="131313"/>
          <w:sz w:val="24"/>
          <w:szCs w:val="24"/>
        </w:rPr>
        <w:t>Sanjay Gandhi Postgraduate Institute of Medical Sciences, Lucknow</w:t>
      </w:r>
      <w:r>
        <w:rPr>
          <w:rFonts w:ascii="Times New Roman" w:hAnsi="Times New Roman"/>
          <w:color w:val="131313"/>
          <w:sz w:val="24"/>
          <w:szCs w:val="24"/>
        </w:rPr>
        <w:t>.</w:t>
      </w:r>
      <w:proofErr w:type="gramEnd"/>
    </w:p>
    <w:p w:rsidR="00A204C0" w:rsidRPr="00C4561D" w:rsidRDefault="00A204C0" w:rsidP="00A204C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4561D">
        <w:rPr>
          <w:rFonts w:ascii="Times New Roman" w:hAnsi="Times New Roman"/>
          <w:b/>
          <w:color w:val="000000"/>
          <w:sz w:val="24"/>
          <w:szCs w:val="24"/>
        </w:rPr>
        <w:t xml:space="preserve">Abstract </w:t>
      </w:r>
    </w:p>
    <w:p w:rsidR="00A204C0" w:rsidRPr="00C4561D" w:rsidRDefault="00A204C0" w:rsidP="00A204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61D">
        <w:rPr>
          <w:rFonts w:ascii="Times New Roman" w:hAnsi="Times New Roman"/>
          <w:b/>
          <w:color w:val="000000"/>
          <w:sz w:val="24"/>
          <w:szCs w:val="24"/>
        </w:rPr>
        <w:t>Objective:</w:t>
      </w:r>
      <w:r w:rsidRPr="00C4561D">
        <w:rPr>
          <w:rFonts w:ascii="Times New Roman" w:hAnsi="Times New Roman"/>
          <w:color w:val="000000"/>
          <w:sz w:val="24"/>
          <w:szCs w:val="24"/>
        </w:rPr>
        <w:t xml:space="preserve"> Intestinal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lymphangiectasia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(IL, primary or secondary) is an important cause of protein-losing enteropathy. We evaluated the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clinico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>-laboratory profile, response to therapy, complications and outcome of children with primary IL (PIL).</w:t>
      </w:r>
    </w:p>
    <w:p w:rsidR="00A204C0" w:rsidRPr="00C4561D" w:rsidRDefault="00A204C0" w:rsidP="00A204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61D">
        <w:rPr>
          <w:rFonts w:ascii="Times New Roman" w:hAnsi="Times New Roman"/>
          <w:b/>
          <w:color w:val="000000"/>
          <w:sz w:val="24"/>
          <w:szCs w:val="24"/>
        </w:rPr>
        <w:t>Methods:</w:t>
      </w:r>
      <w:r w:rsidRPr="00C4561D">
        <w:rPr>
          <w:rFonts w:ascii="Times New Roman" w:hAnsi="Times New Roman"/>
          <w:color w:val="000000"/>
          <w:sz w:val="24"/>
          <w:szCs w:val="24"/>
        </w:rPr>
        <w:t xml:space="preserve"> Consecutive children (≤18 years) diagnosed with PIL (clinical setting, typical small bowel histopathology and exclusion of secondary causes) from 2007 to 2017 were evaluated. </w:t>
      </w:r>
    </w:p>
    <w:p w:rsidR="00A204C0" w:rsidRPr="00C4561D" w:rsidRDefault="00A204C0" w:rsidP="00A204C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61D">
        <w:rPr>
          <w:rFonts w:ascii="Times New Roman" w:hAnsi="Times New Roman"/>
          <w:b/>
          <w:color w:val="000000"/>
          <w:sz w:val="24"/>
          <w:szCs w:val="24"/>
        </w:rPr>
        <w:t>Results:</w:t>
      </w:r>
      <w:r w:rsidRPr="00C456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4561D">
        <w:rPr>
          <w:rFonts w:ascii="Times New Roman" w:hAnsi="Times New Roman"/>
          <w:sz w:val="24"/>
          <w:szCs w:val="24"/>
        </w:rPr>
        <w:t xml:space="preserve">28 children with PIL (16 boys, age at symptom onset-12 [1-192] months and at diagnosis 8 [1-18] years) were studied. Pedal edema (93%), chronic diarrhea (78.6%) and recurrent </w:t>
      </w:r>
      <w:proofErr w:type="spellStart"/>
      <w:r w:rsidRPr="00C4561D">
        <w:rPr>
          <w:rFonts w:ascii="Times New Roman" w:hAnsi="Times New Roman"/>
          <w:sz w:val="24"/>
          <w:szCs w:val="24"/>
        </w:rPr>
        <w:t>anasarca</w:t>
      </w:r>
      <w:proofErr w:type="spellEnd"/>
      <w:r w:rsidRPr="00C4561D">
        <w:rPr>
          <w:rFonts w:ascii="Times New Roman" w:hAnsi="Times New Roman"/>
          <w:sz w:val="24"/>
          <w:szCs w:val="24"/>
        </w:rPr>
        <w:t xml:space="preserve"> (64%) were the common presentations. Ascites, pleural and pericardial effusion was seen in 64% (n-18; chylous-5, non-chylous-13), 18% and 18% cases respectively. </w:t>
      </w:r>
      <w:proofErr w:type="spellStart"/>
      <w:r w:rsidRPr="00C4561D">
        <w:rPr>
          <w:rFonts w:ascii="Times New Roman" w:hAnsi="Times New Roman"/>
          <w:sz w:val="24"/>
          <w:szCs w:val="24"/>
        </w:rPr>
        <w:t>Hypoproteinemia</w:t>
      </w:r>
      <w:proofErr w:type="spellEnd"/>
      <w:r w:rsidRPr="00C4561D">
        <w:rPr>
          <w:rFonts w:ascii="Times New Roman" w:hAnsi="Times New Roman"/>
          <w:sz w:val="24"/>
          <w:szCs w:val="24"/>
        </w:rPr>
        <w:t xml:space="preserve">, hypoalbuminemia, hypocalcaemia and </w:t>
      </w:r>
      <w:proofErr w:type="spellStart"/>
      <w:r w:rsidRPr="00C4561D">
        <w:rPr>
          <w:rFonts w:ascii="Times New Roman" w:hAnsi="Times New Roman"/>
          <w:sz w:val="24"/>
          <w:szCs w:val="24"/>
        </w:rPr>
        <w:t>lymphopenia</w:t>
      </w:r>
      <w:proofErr w:type="spellEnd"/>
      <w:r w:rsidRPr="00C4561D">
        <w:rPr>
          <w:rFonts w:ascii="Times New Roman" w:hAnsi="Times New Roman"/>
          <w:sz w:val="24"/>
          <w:szCs w:val="24"/>
        </w:rPr>
        <w:t xml:space="preserve"> were present in 82%, 82%, 75% and 39% cases respectively. Duodenal biopsy established the diagnosis in 86% cases, while 14% required distal small bowel biopsies.  Dietary</w:t>
      </w:r>
      <w:r w:rsidRPr="00C4561D">
        <w:rPr>
          <w:rFonts w:ascii="Times New Roman" w:hAnsi="Times New Roman"/>
          <w:color w:val="000000"/>
          <w:sz w:val="24"/>
          <w:szCs w:val="24"/>
        </w:rPr>
        <w:t xml:space="preserve"> therapy was given in all and 6 cases required additional therapy (octreotide-6,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trenexamic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acid-3, and total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parenteral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nutrition-1). Lymphedema (3/5 vs. 1/23), pleural effusion (4/5 vs. 1/23) and need of additional therapy (4/5 vs. 2/23) was significantly more common in patients with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chylous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ascites (n=5) than those without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chylous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ascites (n=23). 24 cases were in follow-up for 39 (6-120) months and showed improvement, however 8 required readmission (symptom recurrence-6 [25%], complication- 2 [8.3%, Budd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Chiari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Syndrome-1 and abdominal B cell lymphoma-1]). </w:t>
      </w:r>
    </w:p>
    <w:p w:rsidR="00A204C0" w:rsidRDefault="00A204C0" w:rsidP="00A204C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61D">
        <w:rPr>
          <w:rFonts w:ascii="Times New Roman" w:hAnsi="Times New Roman"/>
          <w:b/>
          <w:color w:val="000000"/>
          <w:sz w:val="24"/>
          <w:szCs w:val="24"/>
        </w:rPr>
        <w:t>Conclusion:</w:t>
      </w:r>
      <w:r w:rsidRPr="00C4561D">
        <w:rPr>
          <w:rFonts w:ascii="Times New Roman" w:hAnsi="Times New Roman"/>
          <w:color w:val="000000"/>
          <w:sz w:val="24"/>
          <w:szCs w:val="24"/>
        </w:rPr>
        <w:t xml:space="preserve"> Presence of </w:t>
      </w:r>
      <w:proofErr w:type="spellStart"/>
      <w:r w:rsidRPr="00C4561D">
        <w:rPr>
          <w:rFonts w:ascii="Times New Roman" w:hAnsi="Times New Roman"/>
          <w:color w:val="000000"/>
          <w:sz w:val="24"/>
          <w:szCs w:val="24"/>
        </w:rPr>
        <w:t>chylous</w:t>
      </w:r>
      <w:proofErr w:type="spellEnd"/>
      <w:r w:rsidRPr="00C4561D">
        <w:rPr>
          <w:rFonts w:ascii="Times New Roman" w:hAnsi="Times New Roman"/>
          <w:color w:val="000000"/>
          <w:sz w:val="24"/>
          <w:szCs w:val="24"/>
        </w:rPr>
        <w:t xml:space="preserve"> ascites suggests severe disease in children with PIL. Majority of PIL children respond to dietary therapy; only 20% need additional therapy. Symptom relapse and complications occur in 1/3rd of cases and need long-term follow-up. </w:t>
      </w:r>
    </w:p>
    <w:p w:rsidR="00AA6260" w:rsidRDefault="00AA6260" w:rsidP="00AA6260">
      <w:pPr>
        <w:spacing w:line="48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AA6260" w:rsidSect="00371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04C0"/>
    <w:rsid w:val="00371B68"/>
    <w:rsid w:val="007B3397"/>
    <w:rsid w:val="00A204C0"/>
    <w:rsid w:val="00AA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C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2018-08-23T04:08:00Z</dcterms:created>
  <dcterms:modified xsi:type="dcterms:W3CDTF">2018-11-20T11:26:00Z</dcterms:modified>
</cp:coreProperties>
</file>