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FD29D" w14:textId="77777777" w:rsidR="00EE0787" w:rsidRPr="0010519A" w:rsidRDefault="00EE0787" w:rsidP="00EE0787">
      <w:pPr>
        <w:pStyle w:val="NormalWeb"/>
        <w:ind w:right="38" w:firstLine="600"/>
        <w:jc w:val="center"/>
        <w:rPr>
          <w:b/>
          <w:bCs/>
          <w:color w:val="000000" w:themeColor="text1"/>
          <w:sz w:val="26"/>
          <w:szCs w:val="26"/>
        </w:rPr>
      </w:pPr>
      <w:r w:rsidRPr="0010519A">
        <w:rPr>
          <w:b/>
          <w:bCs/>
          <w:color w:val="000000" w:themeColor="text1"/>
          <w:sz w:val="26"/>
          <w:szCs w:val="26"/>
        </w:rPr>
        <w:t>Colorectal cancer liver metastases within the central and peripheral segments: parenchymal</w:t>
      </w:r>
      <w:r w:rsidRPr="0010519A">
        <w:rPr>
          <w:b/>
          <w:bCs/>
          <w:color w:val="000000" w:themeColor="text1"/>
          <w:sz w:val="26"/>
          <w:szCs w:val="26"/>
          <w:lang w:val="uk-UA"/>
        </w:rPr>
        <w:t xml:space="preserve"> </w:t>
      </w:r>
      <w:r w:rsidRPr="0010519A">
        <w:rPr>
          <w:b/>
          <w:bCs/>
          <w:color w:val="000000" w:themeColor="text1"/>
          <w:sz w:val="26"/>
          <w:szCs w:val="26"/>
        </w:rPr>
        <w:t>sparing surgery adaptation</w:t>
      </w:r>
    </w:p>
    <w:p w14:paraId="08BFC04F" w14:textId="77777777" w:rsidR="00EE0787" w:rsidRPr="0010519A" w:rsidRDefault="00EE0787" w:rsidP="00EE0787">
      <w:pPr>
        <w:pStyle w:val="NormalWeb"/>
        <w:ind w:right="38" w:firstLine="600"/>
        <w:rPr>
          <w:rStyle w:val="notranslate"/>
          <w:b/>
          <w:bCs/>
          <w:color w:val="000000" w:themeColor="text1"/>
        </w:rPr>
      </w:pPr>
      <w:r w:rsidRPr="0010519A">
        <w:rPr>
          <w:rStyle w:val="notranslate"/>
          <w:b/>
          <w:bCs/>
          <w:color w:val="000000" w:themeColor="text1"/>
        </w:rPr>
        <w:t xml:space="preserve">Background. </w:t>
      </w:r>
      <w:r w:rsidRPr="0010519A">
        <w:rPr>
          <w:color w:val="000000" w:themeColor="text1"/>
        </w:rPr>
        <w:t xml:space="preserve">The debate over the surgical strategy optimization in colorectal cancer patients with liver metastases (mCRC) has been ongoing in the last 20 years. </w:t>
      </w:r>
      <w:r w:rsidRPr="0010519A">
        <w:rPr>
          <w:rStyle w:val="notranslate"/>
          <w:color w:val="000000" w:themeColor="text1"/>
        </w:rPr>
        <w:t xml:space="preserve">However, parenchyma sparing surgery (PPS) in cases of </w:t>
      </w:r>
      <w:proofErr w:type="gramStart"/>
      <w:r w:rsidRPr="0010519A">
        <w:rPr>
          <w:rStyle w:val="notranslate"/>
          <w:color w:val="000000" w:themeColor="text1"/>
        </w:rPr>
        <w:t>hard to reach</w:t>
      </w:r>
      <w:proofErr w:type="gramEnd"/>
      <w:r w:rsidRPr="0010519A">
        <w:rPr>
          <w:rStyle w:val="notranslate"/>
          <w:color w:val="000000" w:themeColor="text1"/>
        </w:rPr>
        <w:t xml:space="preserve"> liver cites (HTRLC) remain to be controversial.</w:t>
      </w:r>
    </w:p>
    <w:p w14:paraId="3F414023" w14:textId="77777777" w:rsidR="00EE0787" w:rsidRPr="0010519A" w:rsidRDefault="00EE0787" w:rsidP="00EE0787">
      <w:pPr>
        <w:pStyle w:val="NormalWeb"/>
        <w:ind w:right="38" w:firstLine="600"/>
        <w:rPr>
          <w:rStyle w:val="notranslate"/>
          <w:b/>
          <w:bCs/>
          <w:color w:val="000000" w:themeColor="text1"/>
          <w:highlight w:val="yellow"/>
        </w:rPr>
      </w:pPr>
      <w:r w:rsidRPr="0010519A">
        <w:rPr>
          <w:rStyle w:val="notranslate"/>
          <w:b/>
          <w:bCs/>
          <w:color w:val="000000" w:themeColor="text1"/>
        </w:rPr>
        <w:t xml:space="preserve">Methods. </w:t>
      </w:r>
      <w:r w:rsidRPr="0010519A">
        <w:rPr>
          <w:rStyle w:val="notranslate"/>
          <w:color w:val="000000" w:themeColor="text1"/>
        </w:rPr>
        <w:t>A prospective analysis of 185 mCRC patients performed</w:t>
      </w:r>
      <w:r w:rsidRPr="0010519A">
        <w:rPr>
          <w:color w:val="000000" w:themeColor="text1"/>
        </w:rPr>
        <w:t xml:space="preserve"> who were </w:t>
      </w:r>
      <w:proofErr w:type="spellStart"/>
      <w:r w:rsidRPr="0010519A">
        <w:rPr>
          <w:color w:val="000000" w:themeColor="text1"/>
        </w:rPr>
        <w:t>devided</w:t>
      </w:r>
      <w:proofErr w:type="spellEnd"/>
      <w:r w:rsidRPr="0010519A">
        <w:rPr>
          <w:color w:val="000000" w:themeColor="text1"/>
        </w:rPr>
        <w:t xml:space="preserve"> in two groups depending by predominant liver cite localization. Peripherally localized metastases (PLM) (n = 107) (S2, S3, S6, S7, Spiegel lobe and subcapsular area 1-2 cm below the liver surface). Group 2 included those with metastases localized in HTRLC (n = 78) -  metastatic lesions of the “right venous core”, portal and </w:t>
      </w:r>
      <w:proofErr w:type="spellStart"/>
      <w:r w:rsidRPr="0010519A">
        <w:rPr>
          <w:color w:val="000000" w:themeColor="text1"/>
        </w:rPr>
        <w:t>caval</w:t>
      </w:r>
      <w:proofErr w:type="spellEnd"/>
      <w:r w:rsidRPr="0010519A">
        <w:rPr>
          <w:color w:val="000000" w:themeColor="text1"/>
        </w:rPr>
        <w:t xml:space="preserve"> hilum, </w:t>
      </w:r>
      <w:proofErr w:type="spellStart"/>
      <w:r w:rsidRPr="0010519A">
        <w:rPr>
          <w:color w:val="000000" w:themeColor="text1"/>
        </w:rPr>
        <w:t>paracaval</w:t>
      </w:r>
      <w:proofErr w:type="spellEnd"/>
      <w:r w:rsidRPr="0010519A">
        <w:rPr>
          <w:color w:val="000000" w:themeColor="text1"/>
        </w:rPr>
        <w:t xml:space="preserve"> part</w:t>
      </w:r>
      <w:r w:rsidRPr="0010519A" w:rsidDel="007A67BF">
        <w:rPr>
          <w:color w:val="000000" w:themeColor="text1"/>
        </w:rPr>
        <w:t xml:space="preserve"> </w:t>
      </w:r>
      <w:r w:rsidRPr="0010519A">
        <w:rPr>
          <w:color w:val="000000" w:themeColor="text1"/>
        </w:rPr>
        <w:t>of S1, “deep” parenchyma cites of S5, S8 and S4.</w:t>
      </w:r>
    </w:p>
    <w:p w14:paraId="45464359" w14:textId="77777777" w:rsidR="00EE0787" w:rsidRPr="0010519A" w:rsidRDefault="00EE0787" w:rsidP="00EE0787">
      <w:pPr>
        <w:pStyle w:val="NormalWeb"/>
        <w:ind w:right="38" w:firstLine="600"/>
        <w:jc w:val="both"/>
        <w:rPr>
          <w:rStyle w:val="notranslate"/>
          <w:color w:val="000000" w:themeColor="text1"/>
        </w:rPr>
      </w:pPr>
      <w:r w:rsidRPr="0010519A">
        <w:rPr>
          <w:rStyle w:val="notranslate"/>
          <w:b/>
          <w:bCs/>
          <w:color w:val="000000" w:themeColor="text1"/>
        </w:rPr>
        <w:t>Results</w:t>
      </w:r>
      <w:r w:rsidRPr="0010519A">
        <w:rPr>
          <w:rStyle w:val="notranslate"/>
          <w:color w:val="000000" w:themeColor="text1"/>
        </w:rPr>
        <w:t>.</w:t>
      </w:r>
      <w:r w:rsidRPr="0010519A">
        <w:rPr>
          <w:rStyle w:val="notranslate"/>
          <w:color w:val="000000" w:themeColor="text1"/>
          <w:lang w:val="uk-UA"/>
        </w:rPr>
        <w:t xml:space="preserve"> </w:t>
      </w:r>
      <w:r w:rsidRPr="0010519A">
        <w:rPr>
          <w:color w:val="000000" w:themeColor="text1"/>
        </w:rPr>
        <w:t xml:space="preserve">In 26 (33,3%) and 32 (29,9%) patients of HTRLC and PLM, respectively, performed one liver re-resection (0,62). In HTRLC group 2 and more re-resection </w:t>
      </w:r>
      <w:proofErr w:type="gramStart"/>
      <w:r w:rsidRPr="0010519A">
        <w:rPr>
          <w:color w:val="000000" w:themeColor="text1"/>
        </w:rPr>
        <w:t>were</w:t>
      </w:r>
      <w:proofErr w:type="gramEnd"/>
      <w:r w:rsidRPr="0010519A">
        <w:rPr>
          <w:color w:val="000000" w:themeColor="text1"/>
        </w:rPr>
        <w:t xml:space="preserve"> performed in 7 (8,9 %) cases while in PLM in 11 (10,3 %), p = 0,76.  </w:t>
      </w:r>
      <w:proofErr w:type="spellStart"/>
      <w:r w:rsidRPr="0010519A">
        <w:rPr>
          <w:rStyle w:val="notranslate"/>
          <w:color w:val="000000" w:themeColor="text1"/>
          <w:lang w:val="uk-UA"/>
        </w:rPr>
        <w:t>Postoperative</w:t>
      </w:r>
      <w:proofErr w:type="spellEnd"/>
      <w:r w:rsidRPr="0010519A">
        <w:rPr>
          <w:rStyle w:val="notranslate"/>
          <w:color w:val="000000" w:themeColor="text1"/>
          <w:lang w:val="uk-UA"/>
        </w:rPr>
        <w:t xml:space="preserve"> </w:t>
      </w:r>
      <w:proofErr w:type="spellStart"/>
      <w:r w:rsidRPr="0010519A">
        <w:rPr>
          <w:rStyle w:val="notranslate"/>
          <w:color w:val="000000" w:themeColor="text1"/>
          <w:lang w:val="uk-UA"/>
        </w:rPr>
        <w:t>major</w:t>
      </w:r>
      <w:proofErr w:type="spellEnd"/>
      <w:r w:rsidRPr="0010519A">
        <w:rPr>
          <w:rStyle w:val="notranslate"/>
          <w:color w:val="000000" w:themeColor="text1"/>
          <w:lang w:val="uk-UA"/>
        </w:rPr>
        <w:t xml:space="preserve"> </w:t>
      </w:r>
      <w:proofErr w:type="spellStart"/>
      <w:r w:rsidRPr="0010519A">
        <w:rPr>
          <w:rStyle w:val="notranslate"/>
          <w:color w:val="000000" w:themeColor="text1"/>
          <w:lang w:val="uk-UA"/>
        </w:rPr>
        <w:t>morbidity</w:t>
      </w:r>
      <w:proofErr w:type="spellEnd"/>
      <w:r w:rsidRPr="0010519A">
        <w:rPr>
          <w:rStyle w:val="notranslate"/>
          <w:color w:val="000000" w:themeColor="text1"/>
        </w:rPr>
        <w:t xml:space="preserve"> </w:t>
      </w:r>
      <w:proofErr w:type="spellStart"/>
      <w:r w:rsidRPr="0010519A">
        <w:rPr>
          <w:rStyle w:val="notranslate"/>
          <w:color w:val="000000" w:themeColor="text1"/>
          <w:lang w:val="uk-UA"/>
        </w:rPr>
        <w:t>was</w:t>
      </w:r>
      <w:proofErr w:type="spellEnd"/>
      <w:r w:rsidRPr="0010519A">
        <w:rPr>
          <w:rStyle w:val="notranslate"/>
          <w:color w:val="000000" w:themeColor="text1"/>
          <w:lang w:val="uk-UA"/>
        </w:rPr>
        <w:t xml:space="preserve"> 24,4%</w:t>
      </w:r>
      <w:r w:rsidRPr="0010519A">
        <w:rPr>
          <w:rStyle w:val="notranslate"/>
          <w:color w:val="000000" w:themeColor="text1"/>
        </w:rPr>
        <w:t>,</w:t>
      </w:r>
      <w:r w:rsidRPr="0010519A">
        <w:rPr>
          <w:rStyle w:val="notranslate"/>
          <w:color w:val="000000" w:themeColor="text1"/>
          <w:lang w:val="uk-UA"/>
        </w:rPr>
        <w:t xml:space="preserve"> 21,8%</w:t>
      </w:r>
      <w:r w:rsidRPr="0010519A">
        <w:rPr>
          <w:rStyle w:val="notranslate"/>
          <w:color w:val="000000" w:themeColor="text1"/>
        </w:rPr>
        <w:t xml:space="preserve"> (p = 0,15) and mortality </w:t>
      </w:r>
      <w:r w:rsidRPr="0010519A">
        <w:rPr>
          <w:rStyle w:val="notranslate"/>
          <w:color w:val="000000" w:themeColor="text1"/>
          <w:lang w:val="uk-UA"/>
        </w:rPr>
        <w:t>8,9%</w:t>
      </w:r>
      <w:r w:rsidRPr="0010519A">
        <w:rPr>
          <w:rStyle w:val="notranslate"/>
          <w:color w:val="000000" w:themeColor="text1"/>
        </w:rPr>
        <w:t>,</w:t>
      </w:r>
      <w:r w:rsidRPr="0010519A">
        <w:rPr>
          <w:rStyle w:val="notranslate"/>
          <w:color w:val="000000" w:themeColor="text1"/>
          <w:lang w:val="uk-UA"/>
        </w:rPr>
        <w:t xml:space="preserve"> 4,6%</w:t>
      </w:r>
      <w:r w:rsidRPr="0010519A">
        <w:rPr>
          <w:rStyle w:val="notranslate"/>
          <w:color w:val="000000" w:themeColor="text1"/>
        </w:rPr>
        <w:t xml:space="preserve"> for </w:t>
      </w:r>
      <w:r w:rsidRPr="0010519A">
        <w:rPr>
          <w:rStyle w:val="notranslate"/>
          <w:color w:val="000000" w:themeColor="text1"/>
          <w:lang w:val="uk-UA"/>
        </w:rPr>
        <w:t xml:space="preserve"> HTRLC </w:t>
      </w:r>
      <w:proofErr w:type="spellStart"/>
      <w:r w:rsidRPr="0010519A">
        <w:rPr>
          <w:rStyle w:val="notranslate"/>
          <w:color w:val="000000" w:themeColor="text1"/>
          <w:lang w:val="uk-UA"/>
        </w:rPr>
        <w:t>and</w:t>
      </w:r>
      <w:proofErr w:type="spellEnd"/>
      <w:r w:rsidRPr="0010519A">
        <w:rPr>
          <w:rStyle w:val="notranslate"/>
          <w:color w:val="000000" w:themeColor="text1"/>
          <w:lang w:val="uk-UA"/>
        </w:rPr>
        <w:t xml:space="preserve"> PLM </w:t>
      </w:r>
      <w:proofErr w:type="spellStart"/>
      <w:r w:rsidRPr="0010519A">
        <w:rPr>
          <w:rStyle w:val="notranslate"/>
          <w:color w:val="000000" w:themeColor="text1"/>
          <w:lang w:val="uk-UA"/>
        </w:rPr>
        <w:t>groups</w:t>
      </w:r>
      <w:proofErr w:type="spellEnd"/>
      <w:r w:rsidRPr="0010519A">
        <w:rPr>
          <w:rStyle w:val="notranslate"/>
          <w:color w:val="000000" w:themeColor="text1"/>
          <w:lang w:val="uk-UA"/>
        </w:rPr>
        <w:t xml:space="preserve">, </w:t>
      </w:r>
      <w:proofErr w:type="spellStart"/>
      <w:r w:rsidRPr="0010519A">
        <w:rPr>
          <w:rStyle w:val="notranslate"/>
          <w:color w:val="000000" w:themeColor="text1"/>
          <w:lang w:val="uk-UA"/>
        </w:rPr>
        <w:t>respectively</w:t>
      </w:r>
      <w:proofErr w:type="spellEnd"/>
      <w:r w:rsidRPr="0010519A">
        <w:rPr>
          <w:rStyle w:val="notranslate"/>
          <w:color w:val="000000" w:themeColor="text1"/>
          <w:lang w:val="uk-UA"/>
        </w:rPr>
        <w:t>.</w:t>
      </w:r>
      <w:r w:rsidRPr="0010519A">
        <w:rPr>
          <w:rStyle w:val="notranslate"/>
          <w:color w:val="000000" w:themeColor="text1"/>
        </w:rPr>
        <w:t xml:space="preserve"> R1v principles were implemented in 24 (30,7%) cases with centrally located metastases and in only 6 cases (5.6%) with peripheral localized metastases (p = 0,001). Cumulative 3-year disease-free survival (DSF) for PLM and HTRLC groups was 63% and 41% (p = 0,008). DFS for R1v (n=24) and R0 (54) </w:t>
      </w:r>
      <w:proofErr w:type="spellStart"/>
      <w:r w:rsidRPr="0010519A">
        <w:rPr>
          <w:rStyle w:val="notranslate"/>
          <w:color w:val="000000" w:themeColor="text1"/>
        </w:rPr>
        <w:t>cochorts</w:t>
      </w:r>
      <w:proofErr w:type="spellEnd"/>
      <w:r w:rsidRPr="0010519A">
        <w:rPr>
          <w:rStyle w:val="notranslate"/>
          <w:color w:val="000000" w:themeColor="text1"/>
        </w:rPr>
        <w:t xml:space="preserve"> in HTRLC group was 33% and  43%, </w:t>
      </w:r>
      <w:proofErr w:type="spellStart"/>
      <w:r w:rsidRPr="0010519A">
        <w:rPr>
          <w:rStyle w:val="notranslate"/>
          <w:color w:val="000000" w:themeColor="text1"/>
        </w:rPr>
        <w:t>respeсtively</w:t>
      </w:r>
      <w:proofErr w:type="spellEnd"/>
      <w:r w:rsidRPr="0010519A">
        <w:rPr>
          <w:rStyle w:val="notranslate"/>
          <w:color w:val="000000" w:themeColor="text1"/>
        </w:rPr>
        <w:t xml:space="preserve"> (p = 0,44).     </w:t>
      </w:r>
    </w:p>
    <w:p w14:paraId="339295DC" w14:textId="77777777" w:rsidR="00EE0787" w:rsidRPr="0010519A" w:rsidRDefault="00EE0787" w:rsidP="00EE0787">
      <w:pPr>
        <w:pStyle w:val="NormalWeb"/>
        <w:ind w:right="38" w:firstLine="600"/>
        <w:rPr>
          <w:rStyle w:val="notranslate"/>
          <w:b/>
          <w:bCs/>
          <w:color w:val="000000" w:themeColor="text1"/>
        </w:rPr>
      </w:pPr>
      <w:r w:rsidRPr="0010519A">
        <w:rPr>
          <w:rStyle w:val="notranslate"/>
          <w:b/>
          <w:bCs/>
          <w:color w:val="000000" w:themeColor="text1"/>
        </w:rPr>
        <w:t xml:space="preserve">Conclusions. </w:t>
      </w:r>
      <w:r w:rsidRPr="0010519A">
        <w:rPr>
          <w:color w:val="000000" w:themeColor="text1"/>
        </w:rPr>
        <w:t xml:space="preserve">Principles of the </w:t>
      </w:r>
      <w:r w:rsidRPr="0010519A">
        <w:rPr>
          <w:rStyle w:val="notranslate"/>
          <w:color w:val="000000" w:themeColor="text1"/>
        </w:rPr>
        <w:t>PPS</w:t>
      </w:r>
      <w:r w:rsidRPr="0010519A">
        <w:rPr>
          <w:color w:val="000000" w:themeColor="text1"/>
        </w:rPr>
        <w:t xml:space="preserve"> tactic provides an adequate removal of metastatic lesions in </w:t>
      </w:r>
      <w:proofErr w:type="gramStart"/>
      <w:r w:rsidRPr="0010519A">
        <w:rPr>
          <w:color w:val="000000" w:themeColor="text1"/>
        </w:rPr>
        <w:t>hard to reach</w:t>
      </w:r>
      <w:proofErr w:type="gramEnd"/>
      <w:r w:rsidRPr="0010519A">
        <w:rPr>
          <w:color w:val="000000" w:themeColor="text1"/>
        </w:rPr>
        <w:t xml:space="preserve"> liver cites allowing to maintain organ functions and increases the feasibility of the repeated liver resections in case of the initial disease progression.</w:t>
      </w:r>
    </w:p>
    <w:p w14:paraId="198BDB50" w14:textId="77777777" w:rsidR="00EE0787" w:rsidRPr="00EE0787" w:rsidRDefault="00EE0787">
      <w:pPr>
        <w:rPr>
          <w:lang w:val="en-US"/>
        </w:rPr>
      </w:pPr>
    </w:p>
    <w:sectPr w:rsidR="00EE0787" w:rsidRPr="00EE07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87"/>
    <w:rsid w:val="00EE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190257"/>
  <w15:chartTrackingRefBased/>
  <w15:docId w15:val="{69C61EB4-617C-2742-AFEC-751DBF3A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0787"/>
    <w:rPr>
      <w:rFonts w:ascii="Times New Roman" w:eastAsia="Times New Roman" w:hAnsi="Times New Roman" w:cs="Times New Roman"/>
      <w:lang w:val="en-US" w:eastAsia="en-GB"/>
    </w:rPr>
  </w:style>
  <w:style w:type="character" w:customStyle="1" w:styleId="notranslate">
    <w:name w:val="notranslate"/>
    <w:basedOn w:val="DefaultParagraphFont"/>
    <w:uiPriority w:val="99"/>
    <w:rsid w:val="00EE0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2021-06-16T07:26:00Z</dcterms:created>
  <dcterms:modified xsi:type="dcterms:W3CDTF">2021-06-16T07:27:00Z</dcterms:modified>
</cp:coreProperties>
</file>