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B66E1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The spectacular role of the human microbiome in preventing post-prandial or metabolic endotoxemia,</w:t>
      </w:r>
    </w:p>
    <w:p w14:paraId="58F689D9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the number one cause of mortality worldwide.</w:t>
      </w:r>
    </w:p>
    <w:p w14:paraId="051327F2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4AF027C9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You are more bacteria than you are human with 10 trillion human cells outnumbered by over 100 trillion</w:t>
      </w:r>
    </w:p>
    <w:p w14:paraId="7A331EAF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bacteria cells in and on your body. The human genome contributes just 1% genetic material to daily</w:t>
      </w:r>
    </w:p>
    <w:p w14:paraId="162D2985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metabolic function compared to the 99% that is contributed by the microbiome. An often-overlooked</w:t>
      </w:r>
    </w:p>
    <w:p w14:paraId="5D9E963A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role of the microbiome is to prevent post-prandial endotoxemia and the inflammatory devastation that</w:t>
      </w:r>
    </w:p>
    <w:p w14:paraId="27F610C7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follows. This lecture will illustrate the danger of having post-prandial endotoxemia and why this</w:t>
      </w:r>
    </w:p>
    <w:p w14:paraId="25EE76BD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condition is being called the number one cause of mortality worldwide as it sets up the body for virtually</w:t>
      </w:r>
    </w:p>
    <w:p w14:paraId="484DFF56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every chronic disease. This condition is caused by eating and a failure of the microbiome to protect its</w:t>
      </w:r>
    </w:p>
    <w:p w14:paraId="73495570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host from this response. You simply cannot completely correct any chronic condition without addressing</w:t>
      </w:r>
    </w:p>
    <w:p w14:paraId="5F5FA9AA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post-prandial endotoxemia.</w:t>
      </w:r>
    </w:p>
    <w:p w14:paraId="73FCC1E3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42A70738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Topic Overview:</w:t>
      </w:r>
    </w:p>
    <w:p w14:paraId="1CCCBC99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1) The latest understanding on the form and function of the human microbiome</w:t>
      </w:r>
    </w:p>
    <w:p w14:paraId="756BF778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2) The development and establishment of the human microbiome and factors that disrupt optimal</w:t>
      </w:r>
    </w:p>
    <w:p w14:paraId="4A01B825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development.</w:t>
      </w:r>
    </w:p>
    <w:p w14:paraId="3F023F87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3) How the microbiome controls the immune system, the brain, the endocrine system and nutrient</w:t>
      </w:r>
    </w:p>
    <w:p w14:paraId="544C00F3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production – the critical cross-talk between microbe and host.</w:t>
      </w:r>
    </w:p>
    <w:p w14:paraId="02CD3B21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4) Understanding post-prandial endotoxemia (PPE) and its resulting effects on the human body.</w:t>
      </w:r>
    </w:p>
    <w:p w14:paraId="16621418" w14:textId="77777777"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5) Strategies for probiotic therapy that can impact PPE</w:t>
      </w:r>
    </w:p>
    <w:p w14:paraId="4BA98B8D" w14:textId="3DF4BCED" w:rsid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 xml:space="preserve">6) The role of transient, commensal </w:t>
      </w:r>
      <w:proofErr w:type="gramStart"/>
      <w:r w:rsidRPr="005734CA">
        <w:rPr>
          <w:rFonts w:ascii="Arial" w:eastAsia="Times New Roman" w:hAnsi="Arial" w:cs="Arial"/>
          <w:color w:val="222222"/>
          <w:sz w:val="19"/>
          <w:szCs w:val="19"/>
        </w:rPr>
        <w:t>spore based</w:t>
      </w:r>
      <w:proofErr w:type="gramEnd"/>
      <w:r w:rsidRPr="005734CA">
        <w:rPr>
          <w:rFonts w:ascii="Arial" w:eastAsia="Times New Roman" w:hAnsi="Arial" w:cs="Arial"/>
          <w:color w:val="222222"/>
          <w:sz w:val="19"/>
          <w:szCs w:val="19"/>
        </w:rPr>
        <w:t xml:space="preserve"> probiotics in bacteriotherapy to treat PPE.</w:t>
      </w:r>
    </w:p>
    <w:p w14:paraId="7100946E" w14:textId="3E4B32FA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65EF73C4" w14:textId="2E3902F7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5C33929F" w14:textId="418CD63F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53040BB9" w14:textId="5D429411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5E37448A" w14:textId="094D3F59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7383EB4E" w14:textId="26E71576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0A2F08BE" w14:textId="496F0F54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44ABED18" w14:textId="12B39AEC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0F4B041D" w14:textId="4BE97EBD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57AFE6F6" w14:textId="123C3E17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2C26C037" w14:textId="65A8B8DF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14C93A60" w14:textId="06D135EB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230E1EF6" w14:textId="6FC68BBF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2EEC0A0F" w14:textId="304ABC0A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bookmarkStart w:id="0" w:name="_GoBack"/>
      <w:bookmarkEnd w:id="0"/>
    </w:p>
    <w:p w14:paraId="3E1C9643" w14:textId="69BD5EE1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20EDD613" w14:textId="5F3A65CD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30957038" w14:textId="13FE787E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24614262" w14:textId="77777777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5C22CBE3" w14:textId="77777777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696EFDB1" w14:textId="62075BCC" w:rsidR="00FF4300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414AF78B" w14:textId="77777777" w:rsidR="00FF4300" w:rsidRDefault="00FF4300" w:rsidP="00FF4300">
      <w:pPr>
        <w:pStyle w:val="m3896287392079935360gmail-p1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  <w:r>
        <w:rPr>
          <w:rFonts w:ascii="Helvetica Neue" w:hAnsi="Helvetica Neue"/>
          <w:color w:val="454545"/>
          <w:sz w:val="18"/>
          <w:szCs w:val="18"/>
        </w:rPr>
        <w:t xml:space="preserve">Nagpal R, Kumar M, Yadav AK, et al. Gut microbiota in health and disease: an overview focused on metabolic inflammation.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Benef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Microbes. 2016;7(2):181-94.</w:t>
      </w:r>
    </w:p>
    <w:p w14:paraId="74077865" w14:textId="77777777" w:rsidR="00FF4300" w:rsidRDefault="00FF4300" w:rsidP="00FF4300">
      <w:pPr>
        <w:pStyle w:val="m3896287392079935360gmail-p2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</w:p>
    <w:p w14:paraId="5DA29FEB" w14:textId="77777777" w:rsidR="00FF4300" w:rsidRDefault="00FF4300" w:rsidP="00FF4300">
      <w:pPr>
        <w:pStyle w:val="m3896287392079935360gmail-p1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  <w:proofErr w:type="spellStart"/>
      <w:r>
        <w:rPr>
          <w:rFonts w:ascii="Helvetica Neue" w:hAnsi="Helvetica Neue"/>
          <w:color w:val="454545"/>
          <w:sz w:val="18"/>
          <w:szCs w:val="18"/>
        </w:rPr>
        <w:t>Erridge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C, et al. A high-fat meal induces low-grade endotoxemia: evidence of a novel mechanism of postprandial inflammation. Am J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Clin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Nutr</w:t>
      </w:r>
      <w:proofErr w:type="spellEnd"/>
      <w:r>
        <w:rPr>
          <w:rStyle w:val="m3896287392079935360gmail-s1"/>
          <w:rFonts w:ascii="Helvetica Neue" w:hAnsi="Helvetica Neue"/>
          <w:color w:val="454545"/>
          <w:sz w:val="18"/>
          <w:szCs w:val="18"/>
        </w:rPr>
        <w:t>.</w:t>
      </w:r>
      <w:r>
        <w:rPr>
          <w:rFonts w:ascii="Helvetica Neue" w:hAnsi="Helvetica Neue"/>
          <w:color w:val="454545"/>
          <w:sz w:val="18"/>
          <w:szCs w:val="18"/>
        </w:rPr>
        <w:t> 2007 Nov;86(5):1286-92.</w:t>
      </w:r>
    </w:p>
    <w:p w14:paraId="42DDE37F" w14:textId="77777777" w:rsidR="00FF4300" w:rsidRDefault="00FF4300" w:rsidP="00FF4300">
      <w:pPr>
        <w:pStyle w:val="m3896287392079935360gmail-p3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</w:p>
    <w:p w14:paraId="556D52E8" w14:textId="77777777" w:rsidR="00FF4300" w:rsidRDefault="00FF4300" w:rsidP="00FF4300">
      <w:pPr>
        <w:pStyle w:val="m3896287392079935360gmail-p1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  <w:r>
        <w:rPr>
          <w:rFonts w:ascii="Helvetica Neue" w:hAnsi="Helvetica Neue"/>
          <w:color w:val="454545"/>
          <w:sz w:val="18"/>
          <w:szCs w:val="18"/>
        </w:rPr>
        <w:t>High Fat Intake Leads to Acute Postprandial Exposure to Circulating Endotoxin in Type 2 Diabetic Subjects. Diabetes Care. 2012; 35(2): 375–382.</w:t>
      </w:r>
    </w:p>
    <w:p w14:paraId="5E126AF7" w14:textId="77777777" w:rsidR="00FF4300" w:rsidRDefault="00FF4300" w:rsidP="00FF4300">
      <w:pPr>
        <w:pStyle w:val="m3896287392079935360gmail-p3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</w:p>
    <w:p w14:paraId="039E7A06" w14:textId="77777777" w:rsidR="00FF4300" w:rsidRDefault="00FF4300" w:rsidP="00FF4300">
      <w:pPr>
        <w:pStyle w:val="m3896287392079935360gmail-p1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  <w:proofErr w:type="spellStart"/>
      <w:proofErr w:type="gramStart"/>
      <w:r>
        <w:rPr>
          <w:rFonts w:ascii="Helvetica Neue" w:hAnsi="Helvetica Neue"/>
          <w:color w:val="454545"/>
          <w:sz w:val="18"/>
          <w:szCs w:val="18"/>
        </w:rPr>
        <w:t>Boulangé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CL,</w:t>
      </w:r>
      <w:proofErr w:type="gramEnd"/>
      <w:r>
        <w:rPr>
          <w:rFonts w:ascii="Helvetica Neue" w:hAnsi="Helvetica Neue"/>
          <w:color w:val="454545"/>
          <w:sz w:val="18"/>
          <w:szCs w:val="18"/>
        </w:rPr>
        <w:t xml:space="preserve"> et al. Impact of the gut microbiota on inflammation, obesity, and metabolic disease.</w:t>
      </w:r>
      <w:r>
        <w:rPr>
          <w:rStyle w:val="apple-converted-space"/>
          <w:rFonts w:ascii="Helvetica Neue" w:hAnsi="Helvetica Neue"/>
          <w:b/>
          <w:bCs/>
          <w:color w:val="454545"/>
          <w:sz w:val="18"/>
          <w:szCs w:val="18"/>
        </w:rPr>
        <w:t> </w:t>
      </w:r>
      <w:r>
        <w:rPr>
          <w:rFonts w:ascii="Helvetica Neue" w:hAnsi="Helvetica Neue"/>
          <w:i/>
          <w:iCs/>
          <w:color w:val="454545"/>
          <w:sz w:val="18"/>
          <w:szCs w:val="18"/>
        </w:rPr>
        <w:t>Genome Medicine.</w:t>
      </w:r>
      <w:r>
        <w:rPr>
          <w:rStyle w:val="apple-converted-space"/>
          <w:rFonts w:ascii="Helvetica Neue" w:hAnsi="Helvetica Neue"/>
          <w:i/>
          <w:iCs/>
          <w:color w:val="454545"/>
          <w:sz w:val="18"/>
          <w:szCs w:val="18"/>
        </w:rPr>
        <w:t> </w:t>
      </w:r>
      <w:proofErr w:type="gramStart"/>
      <w:r>
        <w:rPr>
          <w:rFonts w:ascii="Helvetica Neue" w:hAnsi="Helvetica Neue"/>
          <w:color w:val="454545"/>
          <w:sz w:val="18"/>
          <w:szCs w:val="18"/>
        </w:rPr>
        <w:t>2016;</w:t>
      </w:r>
      <w:r>
        <w:rPr>
          <w:rFonts w:ascii="Helvetica Neue" w:hAnsi="Helvetica Neue"/>
          <w:b/>
          <w:bCs/>
          <w:color w:val="454545"/>
          <w:sz w:val="18"/>
          <w:szCs w:val="18"/>
        </w:rPr>
        <w:t>8</w:t>
      </w:r>
      <w:r>
        <w:rPr>
          <w:rFonts w:ascii="Helvetica Neue" w:hAnsi="Helvetica Neue"/>
          <w:color w:val="454545"/>
          <w:sz w:val="18"/>
          <w:szCs w:val="18"/>
        </w:rPr>
        <w:t>:42</w:t>
      </w:r>
      <w:proofErr w:type="gramEnd"/>
    </w:p>
    <w:p w14:paraId="71BBE80E" w14:textId="77777777" w:rsidR="00FF4300" w:rsidRDefault="00FF4300" w:rsidP="00FF4300">
      <w:pPr>
        <w:pStyle w:val="m3896287392079935360gmail-p3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</w:p>
    <w:p w14:paraId="50C263E9" w14:textId="77777777" w:rsidR="00FF4300" w:rsidRDefault="00FF4300" w:rsidP="00FF4300">
      <w:pPr>
        <w:pStyle w:val="m3896287392079935360gmail-p1"/>
        <w:spacing w:before="0" w:beforeAutospacing="0" w:after="0" w:afterAutospacing="0"/>
        <w:rPr>
          <w:rFonts w:ascii="Helvetica Neue" w:hAnsi="Helvetica Neue"/>
          <w:color w:val="454545"/>
          <w:sz w:val="18"/>
          <w:szCs w:val="18"/>
        </w:rPr>
      </w:pPr>
      <w:r>
        <w:rPr>
          <w:rFonts w:ascii="Helvetica Neue" w:hAnsi="Helvetica Neue"/>
          <w:color w:val="454545"/>
          <w:sz w:val="18"/>
          <w:szCs w:val="18"/>
        </w:rPr>
        <w:t xml:space="preserve">McFarlin BK, et al. Oral spore-based probiotic supplementation was associated with reduced incidence of post-prandial dietary endotoxin, triglycerides, and disease risk biomarkers. World J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Gastrointest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Pathophysiol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>. 2017; 8(3): 117–126.</w:t>
      </w:r>
    </w:p>
    <w:p w14:paraId="4F597B8C" w14:textId="77777777" w:rsidR="00FF4300" w:rsidRPr="005734CA" w:rsidRDefault="00FF4300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14:paraId="425B7EDB" w14:textId="77777777" w:rsidR="007C35DC" w:rsidRDefault="00FF4300"/>
    <w:sectPr w:rsidR="007C3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4CA"/>
    <w:rsid w:val="004E33DD"/>
    <w:rsid w:val="005734CA"/>
    <w:rsid w:val="00EA525E"/>
    <w:rsid w:val="00FF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FAC70"/>
  <w15:chartTrackingRefBased/>
  <w15:docId w15:val="{E59C8A1D-7887-48D3-9845-683EC0F1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5734CA"/>
  </w:style>
  <w:style w:type="paragraph" w:customStyle="1" w:styleId="m3896287392079935360gmail-p1">
    <w:name w:val="m_3896287392079935360gmail-p1"/>
    <w:basedOn w:val="Normal"/>
    <w:rsid w:val="00FF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896287392079935360gmail-p2">
    <w:name w:val="m_3896287392079935360gmail-p2"/>
    <w:basedOn w:val="Normal"/>
    <w:rsid w:val="00FF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3896287392079935360gmail-s1">
    <w:name w:val="m_3896287392079935360gmail-s1"/>
    <w:basedOn w:val="DefaultParagraphFont"/>
    <w:rsid w:val="00FF4300"/>
  </w:style>
  <w:style w:type="paragraph" w:customStyle="1" w:styleId="m3896287392079935360gmail-p3">
    <w:name w:val="m_3896287392079935360gmail-p3"/>
    <w:basedOn w:val="Normal"/>
    <w:rsid w:val="00FF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F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9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MegaSporeBiotic</dc:creator>
  <cp:keywords/>
  <dc:description/>
  <cp:lastModifiedBy>Microsoft Office User</cp:lastModifiedBy>
  <cp:revision>2</cp:revision>
  <dcterms:created xsi:type="dcterms:W3CDTF">2018-02-06T17:37:00Z</dcterms:created>
  <dcterms:modified xsi:type="dcterms:W3CDTF">2018-11-09T20:02:00Z</dcterms:modified>
</cp:coreProperties>
</file>