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905" w:rsidRDefault="00F43ADE" w:rsidP="00F43ADE">
      <w:pPr>
        <w:jc w:val="center"/>
        <w:rPr>
          <w:rFonts w:ascii="Arial" w:hAnsi="Arial" w:cs="Arial"/>
          <w:sz w:val="20"/>
          <w:szCs w:val="20"/>
          <w:lang w:val="en-US"/>
        </w:rPr>
      </w:pPr>
      <w:r w:rsidRPr="00F43ADE">
        <w:rPr>
          <w:rFonts w:ascii="Arial" w:hAnsi="Arial" w:cs="Arial"/>
          <w:b/>
          <w:sz w:val="20"/>
          <w:szCs w:val="20"/>
          <w:lang w:val="en-US"/>
        </w:rPr>
        <w:t>Title:</w:t>
      </w:r>
      <w:r w:rsidRPr="00F43ADE">
        <w:rPr>
          <w:rFonts w:ascii="Arial" w:hAnsi="Arial" w:cs="Arial"/>
          <w:sz w:val="20"/>
          <w:szCs w:val="20"/>
          <w:lang w:val="en-US"/>
        </w:rPr>
        <w:t xml:space="preserve"> General Safety Test and the Rabbit Pyrogen Test in the </w:t>
      </w:r>
      <w:r>
        <w:rPr>
          <w:rFonts w:ascii="Arial" w:hAnsi="Arial" w:cs="Arial"/>
          <w:sz w:val="20"/>
          <w:szCs w:val="20"/>
          <w:lang w:val="en-US"/>
        </w:rPr>
        <w:t xml:space="preserve">quality control of </w:t>
      </w:r>
      <w:r w:rsidR="00E11C1D">
        <w:rPr>
          <w:rFonts w:ascii="Arial" w:hAnsi="Arial" w:cs="Arial"/>
          <w:sz w:val="20"/>
          <w:szCs w:val="20"/>
          <w:lang w:val="en-US"/>
        </w:rPr>
        <w:t>biopharmaceuticals</w:t>
      </w:r>
      <w:r w:rsidR="00A258C1">
        <w:rPr>
          <w:rFonts w:ascii="Arial" w:hAnsi="Arial" w:cs="Arial"/>
          <w:sz w:val="20"/>
          <w:szCs w:val="20"/>
          <w:lang w:val="en-US"/>
        </w:rPr>
        <w:t>. Regulatory points of view.</w:t>
      </w:r>
    </w:p>
    <w:p w:rsidR="00F43ADE" w:rsidRDefault="00F43ADE" w:rsidP="00F43ADE">
      <w:pPr>
        <w:jc w:val="center"/>
        <w:rPr>
          <w:rFonts w:ascii="Arial" w:hAnsi="Arial" w:cs="Arial"/>
          <w:sz w:val="20"/>
          <w:szCs w:val="20"/>
          <w:lang w:val="en-US"/>
        </w:rPr>
      </w:pPr>
    </w:p>
    <w:p w:rsidR="00F43ADE" w:rsidRPr="00AD6B4B" w:rsidRDefault="00F43ADE" w:rsidP="003728E1">
      <w:pPr>
        <w:rPr>
          <w:rFonts w:ascii="Arial" w:hAnsi="Arial" w:cs="Arial"/>
          <w:sz w:val="20"/>
          <w:szCs w:val="20"/>
          <w:lang w:val="en-US"/>
        </w:rPr>
      </w:pPr>
      <w:r w:rsidRPr="00AD6B4B">
        <w:rPr>
          <w:rFonts w:ascii="Arial" w:hAnsi="Arial" w:cs="Arial"/>
          <w:b/>
          <w:sz w:val="20"/>
          <w:szCs w:val="20"/>
          <w:lang w:val="en-US"/>
        </w:rPr>
        <w:t xml:space="preserve">Author: </w:t>
      </w:r>
      <w:r w:rsidRPr="00AD6B4B">
        <w:rPr>
          <w:rFonts w:ascii="Arial" w:hAnsi="Arial" w:cs="Arial"/>
          <w:sz w:val="20"/>
          <w:szCs w:val="20"/>
          <w:u w:val="single"/>
          <w:lang w:val="en-US"/>
        </w:rPr>
        <w:t>Pardo-Ruiz Z.</w:t>
      </w:r>
      <w:r w:rsidRPr="00AD6B4B">
        <w:rPr>
          <w:rFonts w:ascii="Arial" w:hAnsi="Arial" w:cs="Arial"/>
          <w:sz w:val="20"/>
          <w:szCs w:val="20"/>
          <w:lang w:val="en-US"/>
        </w:rPr>
        <w:t>,</w:t>
      </w:r>
      <w:r w:rsidRPr="00AD6B4B">
        <w:rPr>
          <w:rFonts w:ascii="Arial" w:hAnsi="Arial" w:cs="Arial"/>
          <w:b/>
          <w:sz w:val="20"/>
          <w:szCs w:val="20"/>
          <w:lang w:val="en-US"/>
        </w:rPr>
        <w:t xml:space="preserve"> </w:t>
      </w:r>
      <w:r w:rsidR="002B2E70">
        <w:rPr>
          <w:rFonts w:ascii="Arial" w:hAnsi="Arial" w:cs="Arial"/>
          <w:sz w:val="20"/>
          <w:szCs w:val="20"/>
          <w:lang w:val="en-US"/>
        </w:rPr>
        <w:t>PhD</w:t>
      </w:r>
      <w:r w:rsidR="0055227E" w:rsidRPr="00AD6B4B">
        <w:rPr>
          <w:rFonts w:ascii="Arial" w:hAnsi="Arial" w:cs="Arial"/>
          <w:sz w:val="20"/>
          <w:szCs w:val="20"/>
          <w:lang w:val="en-US"/>
        </w:rPr>
        <w:t xml:space="preserve"> </w:t>
      </w:r>
    </w:p>
    <w:p w:rsidR="00EF2248" w:rsidRDefault="00EF2248" w:rsidP="00EF2248">
      <w:pPr>
        <w:spacing w:after="0" w:line="240" w:lineRule="auto"/>
        <w:jc w:val="both"/>
        <w:rPr>
          <w:rFonts w:ascii="Arial" w:hAnsi="Arial" w:cs="Arial"/>
          <w:sz w:val="20"/>
          <w:szCs w:val="20"/>
          <w:lang w:val="en-US"/>
        </w:rPr>
      </w:pPr>
    </w:p>
    <w:p w:rsidR="00EF2248" w:rsidRDefault="00AB48B5" w:rsidP="00EF2248">
      <w:pPr>
        <w:spacing w:after="0" w:line="240" w:lineRule="auto"/>
        <w:jc w:val="both"/>
        <w:rPr>
          <w:rFonts w:ascii="Arial" w:hAnsi="Arial" w:cs="Arial"/>
          <w:sz w:val="20"/>
          <w:szCs w:val="20"/>
          <w:lang w:val="en-US"/>
        </w:rPr>
      </w:pPr>
      <w:r w:rsidRPr="00AB48B5">
        <w:rPr>
          <w:rFonts w:ascii="Arial" w:hAnsi="Arial" w:cs="Arial"/>
          <w:sz w:val="20"/>
          <w:szCs w:val="20"/>
          <w:lang w:val="en-US"/>
        </w:rPr>
        <w:t>Drugs and Biological</w:t>
      </w:r>
      <w:r w:rsidR="00EF2248">
        <w:rPr>
          <w:rFonts w:ascii="Arial" w:hAnsi="Arial" w:cs="Arial"/>
          <w:sz w:val="20"/>
          <w:szCs w:val="20"/>
          <w:lang w:val="en-US"/>
        </w:rPr>
        <w:t xml:space="preserve"> Department</w:t>
      </w:r>
    </w:p>
    <w:p w:rsidR="00EF2248" w:rsidRDefault="00AB48B5" w:rsidP="00EF2248">
      <w:pPr>
        <w:spacing w:after="0" w:line="240" w:lineRule="auto"/>
        <w:jc w:val="both"/>
        <w:rPr>
          <w:rFonts w:ascii="Arial" w:hAnsi="Arial" w:cs="Arial"/>
          <w:sz w:val="20"/>
          <w:szCs w:val="20"/>
          <w:lang w:val="en-US"/>
        </w:rPr>
      </w:pPr>
      <w:r w:rsidRPr="00AB48B5">
        <w:rPr>
          <w:rFonts w:ascii="Arial" w:hAnsi="Arial" w:cs="Arial"/>
          <w:sz w:val="20"/>
          <w:szCs w:val="20"/>
          <w:lang w:val="en-US"/>
        </w:rPr>
        <w:t xml:space="preserve">Center for the State Control of Drugs, </w:t>
      </w:r>
      <w:r w:rsidR="00EF2248">
        <w:rPr>
          <w:rFonts w:ascii="Arial" w:hAnsi="Arial" w:cs="Arial"/>
          <w:sz w:val="20"/>
          <w:szCs w:val="20"/>
          <w:lang w:val="en-US"/>
        </w:rPr>
        <w:t>Equipment and Medical Devices</w:t>
      </w:r>
    </w:p>
    <w:p w:rsidR="00AB48B5" w:rsidRPr="00AB48B5" w:rsidRDefault="00AB48B5" w:rsidP="00EF2248">
      <w:pPr>
        <w:spacing w:after="0" w:line="240" w:lineRule="auto"/>
        <w:jc w:val="both"/>
        <w:rPr>
          <w:rFonts w:ascii="Arial" w:hAnsi="Arial" w:cs="Arial"/>
          <w:sz w:val="20"/>
          <w:szCs w:val="20"/>
          <w:lang w:val="en-US"/>
        </w:rPr>
      </w:pPr>
      <w:r>
        <w:rPr>
          <w:rFonts w:ascii="Arial" w:hAnsi="Arial" w:cs="Arial"/>
          <w:sz w:val="20"/>
          <w:szCs w:val="20"/>
          <w:lang w:val="en-US"/>
        </w:rPr>
        <w:t>H</w:t>
      </w:r>
      <w:r w:rsidRPr="00AB48B5">
        <w:rPr>
          <w:rFonts w:ascii="Arial" w:hAnsi="Arial" w:cs="Arial"/>
          <w:sz w:val="20"/>
          <w:szCs w:val="20"/>
          <w:lang w:val="en-US"/>
        </w:rPr>
        <w:t>avana, Cuba</w:t>
      </w:r>
    </w:p>
    <w:p w:rsidR="00A12A49" w:rsidRPr="00AB48B5" w:rsidRDefault="00A12A49" w:rsidP="00F43ADE">
      <w:pPr>
        <w:jc w:val="center"/>
        <w:rPr>
          <w:rFonts w:ascii="Arial" w:hAnsi="Arial" w:cs="Arial"/>
          <w:sz w:val="20"/>
          <w:szCs w:val="20"/>
          <w:lang w:val="en-US"/>
        </w:rPr>
      </w:pPr>
    </w:p>
    <w:p w:rsidR="00A12A49" w:rsidRPr="00AB48B5" w:rsidRDefault="00B706A8" w:rsidP="00A12A49">
      <w:pPr>
        <w:jc w:val="both"/>
        <w:rPr>
          <w:rFonts w:ascii="Arial" w:hAnsi="Arial" w:cs="Arial"/>
          <w:sz w:val="20"/>
          <w:szCs w:val="20"/>
          <w:lang w:val="en-US"/>
        </w:rPr>
      </w:pPr>
      <w:r w:rsidRPr="00AB48B5">
        <w:rPr>
          <w:rFonts w:ascii="Arial" w:hAnsi="Arial" w:cs="Arial"/>
          <w:sz w:val="20"/>
          <w:szCs w:val="20"/>
          <w:lang w:val="en-US"/>
        </w:rPr>
        <w:t xml:space="preserve"> </w:t>
      </w:r>
    </w:p>
    <w:p w:rsidR="00F43ADE" w:rsidRDefault="00FE509F">
      <w:pPr>
        <w:rPr>
          <w:rFonts w:ascii="Arial" w:hAnsi="Arial" w:cs="Arial"/>
          <w:b/>
          <w:sz w:val="20"/>
          <w:szCs w:val="20"/>
          <w:lang w:val="en-US"/>
        </w:rPr>
      </w:pPr>
      <w:r w:rsidRPr="00FE509F">
        <w:rPr>
          <w:rFonts w:ascii="Arial" w:hAnsi="Arial" w:cs="Arial"/>
          <w:b/>
          <w:sz w:val="20"/>
          <w:szCs w:val="20"/>
          <w:lang w:val="en-US"/>
        </w:rPr>
        <w:t>Abstract:</w:t>
      </w:r>
    </w:p>
    <w:p w:rsidR="00FE509F" w:rsidRDefault="00FE509F">
      <w:pPr>
        <w:rPr>
          <w:rFonts w:ascii="Arial" w:hAnsi="Arial" w:cs="Arial"/>
          <w:b/>
          <w:sz w:val="20"/>
          <w:szCs w:val="20"/>
          <w:lang w:val="en-US"/>
        </w:rPr>
      </w:pPr>
    </w:p>
    <w:p w:rsidR="00BE4384" w:rsidRDefault="0041610C" w:rsidP="00E11C1D">
      <w:pPr>
        <w:tabs>
          <w:tab w:val="left" w:pos="7410"/>
        </w:tabs>
        <w:jc w:val="both"/>
        <w:rPr>
          <w:rStyle w:val="tlid-translation"/>
          <w:lang w:val="en-US"/>
        </w:rPr>
      </w:pPr>
      <w:r w:rsidRPr="009A25EE">
        <w:rPr>
          <w:rStyle w:val="tlid-translation"/>
          <w:lang w:val="en-US"/>
        </w:rPr>
        <w:t xml:space="preserve">The use of alternative methods to animal testing has been </w:t>
      </w:r>
      <w:r>
        <w:rPr>
          <w:rStyle w:val="tlid-translation"/>
          <w:lang w:val="en-US"/>
        </w:rPr>
        <w:t xml:space="preserve">encouraged, thus </w:t>
      </w:r>
      <w:r w:rsidRPr="009A25EE">
        <w:rPr>
          <w:rStyle w:val="tlid-translation"/>
          <w:lang w:val="en-US"/>
        </w:rPr>
        <w:t xml:space="preserve">during the last decade an increasing number of alternative approaches in the biopharmaceutical industry have been formally adopted. In this </w:t>
      </w:r>
      <w:r>
        <w:rPr>
          <w:rStyle w:val="tlid-translation"/>
          <w:lang w:val="en-US"/>
        </w:rPr>
        <w:t>context</w:t>
      </w:r>
      <w:r w:rsidRPr="009A25EE">
        <w:rPr>
          <w:rStyle w:val="tlid-translation"/>
          <w:lang w:val="en-US"/>
        </w:rPr>
        <w:t>, there are a</w:t>
      </w:r>
      <w:r>
        <w:rPr>
          <w:rStyle w:val="tlid-translation"/>
          <w:lang w:val="en-US"/>
        </w:rPr>
        <w:t xml:space="preserve">n </w:t>
      </w:r>
      <w:r w:rsidRPr="000731F7">
        <w:rPr>
          <w:rStyle w:val="tlid-translation"/>
          <w:lang w:val="en-US"/>
        </w:rPr>
        <w:t>ethical, scientific and economic</w:t>
      </w:r>
      <w:r w:rsidRPr="009A25EE">
        <w:rPr>
          <w:rStyle w:val="tlid-translation"/>
          <w:lang w:val="en-US"/>
        </w:rPr>
        <w:t xml:space="preserve"> </w:t>
      </w:r>
      <w:r w:rsidR="003728E1" w:rsidRPr="009A25EE">
        <w:rPr>
          <w:rStyle w:val="tlid-translation"/>
          <w:lang w:val="en-US"/>
        </w:rPr>
        <w:t>discussion</w:t>
      </w:r>
      <w:r w:rsidRPr="009A25EE">
        <w:rPr>
          <w:rStyle w:val="tlid-translation"/>
          <w:lang w:val="en-US"/>
        </w:rPr>
        <w:t xml:space="preserve"> worldwide in relation to the reliability of the </w:t>
      </w:r>
      <w:r>
        <w:rPr>
          <w:rStyle w:val="tlid-translation"/>
          <w:lang w:val="en-US"/>
        </w:rPr>
        <w:t xml:space="preserve">application of the </w:t>
      </w:r>
      <w:r w:rsidRPr="009A25EE">
        <w:rPr>
          <w:rStyle w:val="tlid-translation"/>
          <w:lang w:val="en-US"/>
        </w:rPr>
        <w:t>General Safety Test and</w:t>
      </w:r>
      <w:r>
        <w:rPr>
          <w:rStyle w:val="tlid-translation"/>
          <w:lang w:val="en-US"/>
        </w:rPr>
        <w:t xml:space="preserve"> the Rabbit Pyrogen Test</w:t>
      </w:r>
      <w:r w:rsidR="00E863DE">
        <w:rPr>
          <w:rStyle w:val="tlid-translation"/>
          <w:lang w:val="en-US"/>
        </w:rPr>
        <w:t xml:space="preserve"> in </w:t>
      </w:r>
      <w:r w:rsidR="0055227E">
        <w:rPr>
          <w:rStyle w:val="tlid-translation"/>
          <w:lang w:val="en-US"/>
        </w:rPr>
        <w:t xml:space="preserve">the quality control of </w:t>
      </w:r>
      <w:r w:rsidR="00E863DE">
        <w:rPr>
          <w:rStyle w:val="tlid-translation"/>
          <w:lang w:val="en-US"/>
        </w:rPr>
        <w:t>biopharmaceuticals</w:t>
      </w:r>
      <w:r w:rsidRPr="009A25EE">
        <w:rPr>
          <w:rStyle w:val="tlid-translation"/>
          <w:lang w:val="en-US"/>
        </w:rPr>
        <w:t xml:space="preserve">. The application of the </w:t>
      </w:r>
      <w:r>
        <w:rPr>
          <w:rStyle w:val="tlid-translation"/>
          <w:lang w:val="en-US"/>
        </w:rPr>
        <w:t>former</w:t>
      </w:r>
      <w:r w:rsidRPr="009A25EE">
        <w:rPr>
          <w:rStyle w:val="tlid-translation"/>
          <w:lang w:val="en-US"/>
        </w:rPr>
        <w:t xml:space="preserve"> has been questioned</w:t>
      </w:r>
      <w:r>
        <w:rPr>
          <w:rStyle w:val="tlid-translation"/>
          <w:lang w:val="en-US"/>
        </w:rPr>
        <w:t xml:space="preserve"> because </w:t>
      </w:r>
      <w:r w:rsidRPr="000731F7">
        <w:rPr>
          <w:rStyle w:val="tlid-translation"/>
          <w:lang w:val="en-US"/>
        </w:rPr>
        <w:t>no reliable conclusions</w:t>
      </w:r>
      <w:r>
        <w:rPr>
          <w:rStyle w:val="tlid-translation"/>
          <w:lang w:val="en-US"/>
        </w:rPr>
        <w:t xml:space="preserve"> c</w:t>
      </w:r>
      <w:r w:rsidRPr="000731F7">
        <w:rPr>
          <w:rStyle w:val="tlid-translation"/>
          <w:lang w:val="en-US"/>
        </w:rPr>
        <w:t xml:space="preserve">an be drawn from this </w:t>
      </w:r>
      <w:r>
        <w:rPr>
          <w:rStyle w:val="tlid-translation"/>
          <w:lang w:val="en-US"/>
        </w:rPr>
        <w:t xml:space="preserve">test. For this reason, </w:t>
      </w:r>
      <w:r w:rsidRPr="009A25EE">
        <w:rPr>
          <w:rStyle w:val="tlid-translation"/>
          <w:lang w:val="en-US"/>
        </w:rPr>
        <w:t>this assay has been removed from some pharmacopeias and it is no</w:t>
      </w:r>
      <w:r>
        <w:rPr>
          <w:rStyle w:val="tlid-translation"/>
          <w:lang w:val="en-US"/>
        </w:rPr>
        <w:t xml:space="preserve"> longer</w:t>
      </w:r>
      <w:r w:rsidRPr="009A25EE">
        <w:rPr>
          <w:rStyle w:val="tlid-translation"/>
          <w:lang w:val="en-US"/>
        </w:rPr>
        <w:t xml:space="preserve"> mandatory for several Regulatory Agencies</w:t>
      </w:r>
      <w:r>
        <w:rPr>
          <w:rStyle w:val="tlid-translation"/>
          <w:lang w:val="en-US"/>
        </w:rPr>
        <w:t xml:space="preserve">, especially after the introduction of Good Manufacturing Practices and the use of other stringent methods. </w:t>
      </w:r>
      <w:r w:rsidRPr="009A25EE">
        <w:rPr>
          <w:rStyle w:val="tlid-translation"/>
          <w:lang w:val="en-US"/>
        </w:rPr>
        <w:t xml:space="preserve">In addition, </w:t>
      </w:r>
      <w:r w:rsidRPr="00C40BC5">
        <w:rPr>
          <w:rStyle w:val="tlid-translation"/>
          <w:i/>
          <w:lang w:val="en-US"/>
        </w:rPr>
        <w:t>in vitro</w:t>
      </w:r>
      <w:r w:rsidRPr="009A25EE">
        <w:rPr>
          <w:rStyle w:val="tlid-translation"/>
          <w:lang w:val="en-US"/>
        </w:rPr>
        <w:t xml:space="preserve"> alternatives for pyrogens control, such as the Monocyte Activation Test, have been developed. This alternative method mimics the human fever reactions and detects the enhancing pro-inflammatory effect of substances that are commonly found in the biopharmaceutical industry, increasing the product safety. </w:t>
      </w:r>
      <w:r w:rsidR="00875E23">
        <w:rPr>
          <w:rStyle w:val="tlid-translation"/>
          <w:lang w:val="en-US"/>
        </w:rPr>
        <w:t>It</w:t>
      </w:r>
      <w:r w:rsidR="00875E23" w:rsidRPr="00E863DE">
        <w:rPr>
          <w:rStyle w:val="tlid-translation"/>
          <w:lang w:val="en-US"/>
        </w:rPr>
        <w:t xml:space="preserve"> is known that the position of a Regulatory Authority is </w:t>
      </w:r>
      <w:r w:rsidR="00875E23">
        <w:rPr>
          <w:rStyle w:val="tlid-translation"/>
          <w:lang w:val="en-US"/>
        </w:rPr>
        <w:t xml:space="preserve">focused in the assurance on </w:t>
      </w:r>
      <w:r w:rsidR="00875E23" w:rsidRPr="00E863DE">
        <w:rPr>
          <w:rStyle w:val="tlid-translation"/>
          <w:lang w:val="en-US"/>
        </w:rPr>
        <w:t>the safety of products</w:t>
      </w:r>
      <w:r w:rsidR="00875E23">
        <w:rPr>
          <w:rStyle w:val="tlid-translation"/>
          <w:lang w:val="en-US"/>
        </w:rPr>
        <w:t xml:space="preserve">; however, </w:t>
      </w:r>
      <w:r w:rsidRPr="00E863DE">
        <w:rPr>
          <w:rStyle w:val="tlid-translation"/>
          <w:lang w:val="en-US"/>
        </w:rPr>
        <w:t xml:space="preserve">Cuban regulations have not yet specifically ruled on the usefulness of both tests. </w:t>
      </w:r>
      <w:r w:rsidRPr="0041610C">
        <w:rPr>
          <w:rStyle w:val="tlid-translation"/>
          <w:lang w:val="en-US"/>
        </w:rPr>
        <w:t xml:space="preserve">This work offers a scientific basis on the reliability of </w:t>
      </w:r>
      <w:r w:rsidR="00875E23">
        <w:rPr>
          <w:rStyle w:val="tlid-translation"/>
          <w:lang w:val="en-US"/>
        </w:rPr>
        <w:t>these</w:t>
      </w:r>
      <w:r w:rsidRPr="0041610C">
        <w:rPr>
          <w:rStyle w:val="tlid-translation"/>
          <w:lang w:val="en-US"/>
        </w:rPr>
        <w:t xml:space="preserve"> tests and their role to increase or not the safety of biological products. In addition, the position of </w:t>
      </w:r>
      <w:r w:rsidR="00875E23">
        <w:rPr>
          <w:rStyle w:val="tlid-translation"/>
          <w:lang w:val="en-US"/>
        </w:rPr>
        <w:t xml:space="preserve">the Cuban Regulatory Authority </w:t>
      </w:r>
      <w:r w:rsidRPr="0041610C">
        <w:rPr>
          <w:rStyle w:val="tlid-translation"/>
          <w:lang w:val="en-US"/>
        </w:rPr>
        <w:t xml:space="preserve">with respect to its application in the </w:t>
      </w:r>
      <w:r w:rsidR="00E863DE">
        <w:rPr>
          <w:rStyle w:val="tlid-translation"/>
          <w:lang w:val="en-US"/>
        </w:rPr>
        <w:t xml:space="preserve">quality </w:t>
      </w:r>
      <w:r w:rsidRPr="0041610C">
        <w:rPr>
          <w:rStyle w:val="tlid-translation"/>
          <w:lang w:val="en-US"/>
        </w:rPr>
        <w:t>control of biological products is exposed.</w:t>
      </w:r>
    </w:p>
    <w:p w:rsidR="00AB48B5" w:rsidRDefault="00AB48B5" w:rsidP="00E11C1D">
      <w:pPr>
        <w:tabs>
          <w:tab w:val="left" w:pos="7410"/>
        </w:tabs>
        <w:jc w:val="both"/>
        <w:rPr>
          <w:rStyle w:val="tlid-translation"/>
          <w:lang w:val="en-US"/>
        </w:rPr>
      </w:pPr>
    </w:p>
    <w:p w:rsidR="00AB48B5" w:rsidRDefault="00AB48B5" w:rsidP="00E11C1D">
      <w:pPr>
        <w:tabs>
          <w:tab w:val="left" w:pos="7410"/>
        </w:tabs>
        <w:jc w:val="both"/>
        <w:rPr>
          <w:lang w:val="en-US"/>
        </w:rPr>
      </w:pPr>
      <w:proofErr w:type="gramStart"/>
      <w:r>
        <w:rPr>
          <w:rStyle w:val="tlid-translation"/>
          <w:lang w:val="en-US"/>
        </w:rPr>
        <w:t>e-mail</w:t>
      </w:r>
      <w:proofErr w:type="gramEnd"/>
      <w:r>
        <w:rPr>
          <w:rStyle w:val="tlid-translation"/>
          <w:lang w:val="en-US"/>
        </w:rPr>
        <w:t xml:space="preserve">: </w:t>
      </w:r>
      <w:hyperlink r:id="rId4" w:history="1">
        <w:r w:rsidR="003728E1" w:rsidRPr="007D761F">
          <w:rPr>
            <w:rStyle w:val="Hipervnculo"/>
            <w:lang w:val="en-US"/>
          </w:rPr>
          <w:t>zenia.pardo@gmail.com</w:t>
        </w:r>
      </w:hyperlink>
      <w:r w:rsidR="003728E1">
        <w:rPr>
          <w:lang w:val="en-US"/>
        </w:rPr>
        <w:t xml:space="preserve">, </w:t>
      </w:r>
      <w:hyperlink r:id="rId5" w:history="1">
        <w:r w:rsidR="003728E1" w:rsidRPr="007D761F">
          <w:rPr>
            <w:rStyle w:val="Hipervnculo"/>
            <w:lang w:val="en-US"/>
          </w:rPr>
          <w:t>zenia@cecmed.cu</w:t>
        </w:r>
      </w:hyperlink>
    </w:p>
    <w:p w:rsidR="002B2E70" w:rsidRDefault="002B2E70" w:rsidP="00E11C1D">
      <w:pPr>
        <w:tabs>
          <w:tab w:val="left" w:pos="7410"/>
        </w:tabs>
        <w:jc w:val="both"/>
        <w:rPr>
          <w:rStyle w:val="Hipervnculo"/>
          <w:lang w:val="en-US"/>
        </w:rPr>
      </w:pPr>
    </w:p>
    <w:p w:rsidR="002B2E70" w:rsidRPr="003728E1" w:rsidRDefault="002B2E70" w:rsidP="00E11C1D">
      <w:pPr>
        <w:tabs>
          <w:tab w:val="left" w:pos="7410"/>
        </w:tabs>
        <w:jc w:val="both"/>
        <w:rPr>
          <w:rStyle w:val="tlid-translation"/>
          <w:b/>
        </w:rPr>
      </w:pPr>
      <w:r w:rsidRPr="003728E1">
        <w:rPr>
          <w:rStyle w:val="Hipervnculo"/>
          <w:b/>
          <w:color w:val="auto"/>
          <w:u w:val="none"/>
          <w:lang w:val="en-US"/>
        </w:rPr>
        <w:t>Recent publications</w:t>
      </w:r>
      <w:r w:rsidRPr="003728E1">
        <w:rPr>
          <w:rStyle w:val="Hipervnculo"/>
          <w:b/>
          <w:color w:val="auto"/>
          <w:u w:val="none"/>
        </w:rPr>
        <w:t xml:space="preserve">: </w:t>
      </w:r>
    </w:p>
    <w:p w:rsidR="002B2E70" w:rsidRPr="002B2E70" w:rsidRDefault="002B2E70" w:rsidP="002B2E70">
      <w:pPr>
        <w:pStyle w:val="Textoindependiente"/>
        <w:ind w:left="567" w:right="125" w:hanging="568"/>
        <w:jc w:val="both"/>
        <w:rPr>
          <w:rStyle w:val="tlid-translation"/>
          <w:rFonts w:asciiTheme="minorHAnsi" w:eastAsiaTheme="minorHAnsi" w:hAnsiTheme="minorHAnsi"/>
          <w:sz w:val="22"/>
          <w:szCs w:val="22"/>
        </w:rPr>
      </w:pPr>
      <w:r w:rsidRPr="002B2E70">
        <w:rPr>
          <w:rStyle w:val="tlid-translation"/>
          <w:rFonts w:asciiTheme="minorHAnsi" w:eastAsiaTheme="minorHAnsi" w:hAnsiTheme="minorHAnsi"/>
          <w:sz w:val="22"/>
          <w:szCs w:val="22"/>
          <w:lang w:val="es-PR"/>
        </w:rPr>
        <w:t xml:space="preserve">B. Garrido-Suárez, G. Garrido, M. Castro-Labrada, </w:t>
      </w:r>
      <w:r w:rsidRPr="002B2E70">
        <w:rPr>
          <w:rStyle w:val="tlid-translation"/>
          <w:rFonts w:asciiTheme="minorHAnsi" w:eastAsiaTheme="minorHAnsi" w:hAnsiTheme="minorHAnsi"/>
          <w:sz w:val="22"/>
          <w:szCs w:val="22"/>
          <w:u w:val="single"/>
          <w:lang w:val="es-PR"/>
        </w:rPr>
        <w:t>Z. Pardo-Ruiz</w:t>
      </w:r>
      <w:r w:rsidRPr="002B2E70">
        <w:rPr>
          <w:rStyle w:val="tlid-translation"/>
          <w:rFonts w:asciiTheme="minorHAnsi" w:eastAsiaTheme="minorHAnsi" w:hAnsiTheme="minorHAnsi"/>
          <w:sz w:val="22"/>
          <w:szCs w:val="22"/>
          <w:lang w:val="es-PR"/>
        </w:rPr>
        <w:t xml:space="preserve">, A. </w:t>
      </w:r>
      <w:proofErr w:type="spellStart"/>
      <w:r w:rsidRPr="002B2E70">
        <w:rPr>
          <w:rStyle w:val="tlid-translation"/>
          <w:rFonts w:asciiTheme="minorHAnsi" w:eastAsiaTheme="minorHAnsi" w:hAnsiTheme="minorHAnsi"/>
          <w:sz w:val="22"/>
          <w:szCs w:val="22"/>
          <w:lang w:val="es-PR"/>
        </w:rPr>
        <w:t>Bellma</w:t>
      </w:r>
      <w:proofErr w:type="spellEnd"/>
      <w:r w:rsidRPr="002B2E70">
        <w:rPr>
          <w:rStyle w:val="tlid-translation"/>
          <w:rFonts w:asciiTheme="minorHAnsi" w:eastAsiaTheme="minorHAnsi" w:hAnsiTheme="minorHAnsi"/>
          <w:sz w:val="22"/>
          <w:szCs w:val="22"/>
          <w:lang w:val="es-PR"/>
        </w:rPr>
        <w:t>-Menéndez, E. Spencer, J. Godoy-</w:t>
      </w:r>
      <w:proofErr w:type="spellStart"/>
      <w:r w:rsidRPr="002B2E70">
        <w:rPr>
          <w:rStyle w:val="tlid-translation"/>
          <w:rFonts w:asciiTheme="minorHAnsi" w:eastAsiaTheme="minorHAnsi" w:hAnsiTheme="minorHAnsi"/>
          <w:sz w:val="22"/>
          <w:szCs w:val="22"/>
          <w:lang w:val="es-PR"/>
        </w:rPr>
        <w:t>Figueiredo</w:t>
      </w:r>
      <w:proofErr w:type="spellEnd"/>
      <w:r w:rsidRPr="002B2E70">
        <w:rPr>
          <w:rStyle w:val="tlid-translation"/>
          <w:rFonts w:asciiTheme="minorHAnsi" w:eastAsiaTheme="minorHAnsi" w:hAnsiTheme="minorHAnsi"/>
          <w:sz w:val="22"/>
          <w:szCs w:val="22"/>
          <w:lang w:val="es-PR"/>
        </w:rPr>
        <w:t xml:space="preserve">, S. Ferreira, R. Delgado-Hernández. </w:t>
      </w:r>
      <w:r w:rsidRPr="002B2E70">
        <w:rPr>
          <w:rStyle w:val="tlid-translation"/>
          <w:rFonts w:asciiTheme="minorHAnsi" w:eastAsiaTheme="minorHAnsi" w:hAnsiTheme="minorHAnsi"/>
          <w:sz w:val="22"/>
          <w:szCs w:val="22"/>
        </w:rPr>
        <w:t>Anti-</w:t>
      </w:r>
      <w:proofErr w:type="spellStart"/>
      <w:r w:rsidRPr="002B2E70">
        <w:rPr>
          <w:rStyle w:val="tlid-translation"/>
          <w:rFonts w:asciiTheme="minorHAnsi" w:eastAsiaTheme="minorHAnsi" w:hAnsiTheme="minorHAnsi"/>
          <w:sz w:val="22"/>
          <w:szCs w:val="22"/>
        </w:rPr>
        <w:t>allodynic</w:t>
      </w:r>
      <w:proofErr w:type="spellEnd"/>
      <w:r w:rsidRPr="002B2E70">
        <w:rPr>
          <w:rStyle w:val="tlid-translation"/>
          <w:rFonts w:asciiTheme="minorHAnsi" w:eastAsiaTheme="minorHAnsi" w:hAnsiTheme="minorHAnsi"/>
          <w:sz w:val="22"/>
          <w:szCs w:val="22"/>
        </w:rPr>
        <w:t xml:space="preserve"> effect of </w:t>
      </w:r>
      <w:proofErr w:type="spellStart"/>
      <w:r w:rsidRPr="002B2E70">
        <w:rPr>
          <w:rStyle w:val="tlid-translation"/>
          <w:rFonts w:asciiTheme="minorHAnsi" w:eastAsiaTheme="minorHAnsi" w:hAnsiTheme="minorHAnsi"/>
          <w:sz w:val="22"/>
          <w:szCs w:val="22"/>
        </w:rPr>
        <w:t>Mangiferin</w:t>
      </w:r>
      <w:proofErr w:type="spellEnd"/>
      <w:r w:rsidRPr="002B2E70">
        <w:rPr>
          <w:rStyle w:val="tlid-translation"/>
          <w:rFonts w:asciiTheme="minorHAnsi" w:eastAsiaTheme="minorHAnsi" w:hAnsiTheme="minorHAnsi"/>
          <w:sz w:val="22"/>
          <w:szCs w:val="22"/>
        </w:rPr>
        <w:t xml:space="preserve"> in rats with chronic post-ischemia pain: a model of complex regional pain syndrome type I. Frontiers in Pharmacology 9:1119 (2018).</w:t>
      </w:r>
    </w:p>
    <w:p w:rsidR="002B2E70" w:rsidRPr="002B2E70" w:rsidRDefault="002B2E70" w:rsidP="002B2E70">
      <w:pPr>
        <w:pStyle w:val="Textoindependiente"/>
        <w:ind w:left="567" w:right="125" w:hanging="568"/>
        <w:jc w:val="both"/>
        <w:rPr>
          <w:rStyle w:val="tlid-translation"/>
          <w:rFonts w:asciiTheme="minorHAnsi" w:eastAsiaTheme="minorHAnsi" w:hAnsiTheme="minorHAnsi"/>
          <w:sz w:val="22"/>
          <w:szCs w:val="22"/>
          <w:lang w:val="es-PR"/>
        </w:rPr>
      </w:pPr>
      <w:r w:rsidRPr="002B2E70">
        <w:rPr>
          <w:rStyle w:val="tlid-translation"/>
          <w:rFonts w:asciiTheme="minorHAnsi" w:eastAsiaTheme="minorHAnsi" w:hAnsiTheme="minorHAnsi"/>
          <w:sz w:val="22"/>
          <w:szCs w:val="22"/>
        </w:rPr>
        <w:t>Montero-</w:t>
      </w:r>
      <w:proofErr w:type="spellStart"/>
      <w:r w:rsidRPr="002B2E70">
        <w:rPr>
          <w:rStyle w:val="tlid-translation"/>
          <w:rFonts w:asciiTheme="minorHAnsi" w:eastAsiaTheme="minorHAnsi" w:hAnsiTheme="minorHAnsi"/>
          <w:sz w:val="22"/>
          <w:szCs w:val="22"/>
        </w:rPr>
        <w:t>Alejo</w:t>
      </w:r>
      <w:proofErr w:type="spellEnd"/>
      <w:r w:rsidRPr="002B2E70">
        <w:rPr>
          <w:rStyle w:val="tlid-translation"/>
          <w:rFonts w:asciiTheme="minorHAnsi" w:eastAsiaTheme="minorHAnsi" w:hAnsiTheme="minorHAnsi"/>
          <w:sz w:val="22"/>
          <w:szCs w:val="22"/>
        </w:rPr>
        <w:t xml:space="preserve"> V, </w:t>
      </w:r>
      <w:proofErr w:type="spellStart"/>
      <w:r w:rsidRPr="002B2E70">
        <w:rPr>
          <w:rStyle w:val="tlid-translation"/>
          <w:rFonts w:asciiTheme="minorHAnsi" w:eastAsiaTheme="minorHAnsi" w:hAnsiTheme="minorHAnsi"/>
          <w:sz w:val="22"/>
          <w:szCs w:val="22"/>
        </w:rPr>
        <w:t>Corzo</w:t>
      </w:r>
      <w:proofErr w:type="spellEnd"/>
      <w:r w:rsidRPr="002B2E70">
        <w:rPr>
          <w:rStyle w:val="tlid-translation"/>
          <w:rFonts w:asciiTheme="minorHAnsi" w:eastAsiaTheme="minorHAnsi" w:hAnsiTheme="minorHAnsi"/>
          <w:sz w:val="22"/>
          <w:szCs w:val="22"/>
        </w:rPr>
        <w:t xml:space="preserve"> G, </w:t>
      </w:r>
      <w:proofErr w:type="spellStart"/>
      <w:r w:rsidRPr="002B2E70">
        <w:rPr>
          <w:rStyle w:val="tlid-translation"/>
          <w:rFonts w:asciiTheme="minorHAnsi" w:eastAsiaTheme="minorHAnsi" w:hAnsiTheme="minorHAnsi"/>
          <w:sz w:val="22"/>
          <w:szCs w:val="22"/>
        </w:rPr>
        <w:t>Porro-Suardíaz</w:t>
      </w:r>
      <w:proofErr w:type="spellEnd"/>
      <w:r w:rsidRPr="002B2E70">
        <w:rPr>
          <w:rStyle w:val="tlid-translation"/>
          <w:rFonts w:asciiTheme="minorHAnsi" w:eastAsiaTheme="minorHAnsi" w:hAnsiTheme="minorHAnsi"/>
          <w:sz w:val="22"/>
          <w:szCs w:val="22"/>
        </w:rPr>
        <w:t xml:space="preserve"> J, </w:t>
      </w:r>
      <w:r w:rsidRPr="002B2E70">
        <w:rPr>
          <w:rStyle w:val="tlid-translation"/>
          <w:rFonts w:asciiTheme="minorHAnsi" w:eastAsiaTheme="minorHAnsi" w:hAnsiTheme="minorHAnsi"/>
          <w:sz w:val="22"/>
          <w:szCs w:val="22"/>
          <w:u w:val="single"/>
        </w:rPr>
        <w:t>Pardo-Ruiz Z</w:t>
      </w:r>
      <w:r w:rsidRPr="002B2E70">
        <w:rPr>
          <w:rStyle w:val="tlid-translation"/>
          <w:rFonts w:asciiTheme="minorHAnsi" w:eastAsiaTheme="minorHAnsi" w:hAnsiTheme="minorHAnsi"/>
          <w:sz w:val="22"/>
          <w:szCs w:val="22"/>
        </w:rPr>
        <w:t xml:space="preserve">, </w:t>
      </w:r>
      <w:proofErr w:type="spellStart"/>
      <w:r w:rsidRPr="002B2E70">
        <w:rPr>
          <w:rStyle w:val="tlid-translation"/>
          <w:rFonts w:asciiTheme="minorHAnsi" w:eastAsiaTheme="minorHAnsi" w:hAnsiTheme="minorHAnsi"/>
          <w:sz w:val="22"/>
          <w:szCs w:val="22"/>
        </w:rPr>
        <w:t>Perera</w:t>
      </w:r>
      <w:proofErr w:type="spellEnd"/>
      <w:r w:rsidRPr="002B2E70">
        <w:rPr>
          <w:rStyle w:val="tlid-translation"/>
          <w:rFonts w:asciiTheme="minorHAnsi" w:eastAsiaTheme="minorHAnsi" w:hAnsiTheme="minorHAnsi"/>
          <w:sz w:val="22"/>
          <w:szCs w:val="22"/>
        </w:rPr>
        <w:t xml:space="preserve"> E, Rodríguez- </w:t>
      </w:r>
      <w:proofErr w:type="spellStart"/>
      <w:r w:rsidRPr="002B2E70">
        <w:rPr>
          <w:rStyle w:val="tlid-translation"/>
          <w:rFonts w:asciiTheme="minorHAnsi" w:eastAsiaTheme="minorHAnsi" w:hAnsiTheme="minorHAnsi"/>
          <w:sz w:val="22"/>
          <w:szCs w:val="22"/>
        </w:rPr>
        <w:t>Viera</w:t>
      </w:r>
      <w:proofErr w:type="spellEnd"/>
      <w:r w:rsidRPr="002B2E70">
        <w:rPr>
          <w:rStyle w:val="tlid-translation"/>
          <w:rFonts w:asciiTheme="minorHAnsi" w:eastAsiaTheme="minorHAnsi" w:hAnsiTheme="minorHAnsi"/>
          <w:sz w:val="22"/>
          <w:szCs w:val="22"/>
        </w:rPr>
        <w:t xml:space="preserve"> L, Sánchez-Díaz G, Hernández-Rodríguez EW, </w:t>
      </w:r>
      <w:proofErr w:type="spellStart"/>
      <w:r w:rsidRPr="002B2E70">
        <w:rPr>
          <w:rStyle w:val="tlid-translation"/>
          <w:rFonts w:asciiTheme="minorHAnsi" w:eastAsiaTheme="minorHAnsi" w:hAnsiTheme="minorHAnsi"/>
          <w:sz w:val="22"/>
          <w:szCs w:val="22"/>
        </w:rPr>
        <w:t>Álvarez</w:t>
      </w:r>
      <w:proofErr w:type="spellEnd"/>
      <w:r w:rsidRPr="002B2E70">
        <w:rPr>
          <w:rStyle w:val="tlid-translation"/>
          <w:rFonts w:asciiTheme="minorHAnsi" w:eastAsiaTheme="minorHAnsi" w:hAnsiTheme="minorHAnsi"/>
          <w:sz w:val="22"/>
          <w:szCs w:val="22"/>
        </w:rPr>
        <w:t xml:space="preserve"> C, </w:t>
      </w:r>
      <w:proofErr w:type="spellStart"/>
      <w:r w:rsidRPr="002B2E70">
        <w:rPr>
          <w:rStyle w:val="tlid-translation"/>
          <w:rFonts w:asciiTheme="minorHAnsi" w:eastAsiaTheme="minorHAnsi" w:hAnsiTheme="minorHAnsi"/>
          <w:sz w:val="22"/>
          <w:szCs w:val="22"/>
        </w:rPr>
        <w:t>Peigneur</w:t>
      </w:r>
      <w:proofErr w:type="spellEnd"/>
      <w:r w:rsidRPr="002B2E70">
        <w:rPr>
          <w:rStyle w:val="tlid-translation"/>
          <w:rFonts w:asciiTheme="minorHAnsi" w:eastAsiaTheme="minorHAnsi" w:hAnsiTheme="minorHAnsi"/>
          <w:sz w:val="22"/>
          <w:szCs w:val="22"/>
        </w:rPr>
        <w:t xml:space="preserve"> S, </w:t>
      </w:r>
      <w:proofErr w:type="spellStart"/>
      <w:r w:rsidRPr="002B2E70">
        <w:rPr>
          <w:rStyle w:val="tlid-translation"/>
          <w:rFonts w:asciiTheme="minorHAnsi" w:eastAsiaTheme="minorHAnsi" w:hAnsiTheme="minorHAnsi"/>
          <w:sz w:val="22"/>
          <w:szCs w:val="22"/>
        </w:rPr>
        <w:t>Tytgat</w:t>
      </w:r>
      <w:proofErr w:type="spellEnd"/>
      <w:r w:rsidRPr="002B2E70">
        <w:rPr>
          <w:rStyle w:val="tlid-translation"/>
          <w:rFonts w:asciiTheme="minorHAnsi" w:eastAsiaTheme="minorHAnsi" w:hAnsiTheme="minorHAnsi"/>
          <w:sz w:val="22"/>
          <w:szCs w:val="22"/>
        </w:rPr>
        <w:t xml:space="preserve"> J, </w:t>
      </w:r>
      <w:proofErr w:type="spellStart"/>
      <w:proofErr w:type="gramStart"/>
      <w:r w:rsidRPr="002B2E70">
        <w:rPr>
          <w:rStyle w:val="tlid-translation"/>
          <w:rFonts w:asciiTheme="minorHAnsi" w:eastAsiaTheme="minorHAnsi" w:hAnsiTheme="minorHAnsi"/>
          <w:sz w:val="22"/>
          <w:szCs w:val="22"/>
        </w:rPr>
        <w:t>Perdomo</w:t>
      </w:r>
      <w:proofErr w:type="spellEnd"/>
      <w:proofErr w:type="gramEnd"/>
      <w:r w:rsidRPr="002B2E70">
        <w:rPr>
          <w:rStyle w:val="tlid-translation"/>
          <w:rFonts w:asciiTheme="minorHAnsi" w:eastAsiaTheme="minorHAnsi" w:hAnsiTheme="minorHAnsi"/>
          <w:sz w:val="22"/>
          <w:szCs w:val="22"/>
        </w:rPr>
        <w:t xml:space="preserve">-Morales R. </w:t>
      </w:r>
      <w:proofErr w:type="spellStart"/>
      <w:r w:rsidRPr="002B2E70">
        <w:rPr>
          <w:rStyle w:val="tlid-translation"/>
          <w:rFonts w:asciiTheme="minorHAnsi" w:eastAsiaTheme="minorHAnsi" w:hAnsiTheme="minorHAnsi"/>
          <w:sz w:val="22"/>
          <w:szCs w:val="22"/>
        </w:rPr>
        <w:t>Panusin</w:t>
      </w:r>
      <w:proofErr w:type="spellEnd"/>
      <w:r w:rsidRPr="002B2E70">
        <w:rPr>
          <w:rStyle w:val="tlid-translation"/>
          <w:rFonts w:asciiTheme="minorHAnsi" w:eastAsiaTheme="minorHAnsi" w:hAnsiTheme="minorHAnsi"/>
          <w:sz w:val="22"/>
          <w:szCs w:val="22"/>
        </w:rPr>
        <w:t xml:space="preserve"> represents a new family of </w:t>
      </w:r>
      <w:r w:rsidRPr="002B2E70">
        <w:rPr>
          <w:rStyle w:val="tlid-translation"/>
          <w:rFonts w:asciiTheme="minorHAnsi" w:eastAsiaTheme="minorHAnsi" w:hAnsiTheme="minorHAnsi"/>
          <w:sz w:val="22"/>
          <w:szCs w:val="22"/>
          <w:lang w:val="es-PR"/>
        </w:rPr>
        <w:t>β</w:t>
      </w:r>
      <w:r w:rsidRPr="002B2E70">
        <w:rPr>
          <w:rStyle w:val="tlid-translation"/>
          <w:rFonts w:asciiTheme="minorHAnsi" w:eastAsiaTheme="minorHAnsi" w:hAnsiTheme="minorHAnsi"/>
          <w:sz w:val="22"/>
          <w:szCs w:val="22"/>
        </w:rPr>
        <w:t>-</w:t>
      </w:r>
      <w:proofErr w:type="spellStart"/>
      <w:r w:rsidRPr="002B2E70">
        <w:rPr>
          <w:rStyle w:val="tlid-translation"/>
          <w:rFonts w:asciiTheme="minorHAnsi" w:eastAsiaTheme="minorHAnsi" w:hAnsiTheme="minorHAnsi"/>
          <w:sz w:val="22"/>
          <w:szCs w:val="22"/>
        </w:rPr>
        <w:t>defensin</w:t>
      </w:r>
      <w:proofErr w:type="spellEnd"/>
      <w:r w:rsidRPr="002B2E70">
        <w:rPr>
          <w:rStyle w:val="tlid-translation"/>
          <w:rFonts w:asciiTheme="minorHAnsi" w:eastAsiaTheme="minorHAnsi" w:hAnsiTheme="minorHAnsi"/>
          <w:sz w:val="22"/>
          <w:szCs w:val="22"/>
        </w:rPr>
        <w:t xml:space="preserve">- like peptides in invertebrates. </w:t>
      </w:r>
      <w:proofErr w:type="spellStart"/>
      <w:r w:rsidRPr="002B2E70">
        <w:rPr>
          <w:rStyle w:val="tlid-translation"/>
          <w:rFonts w:asciiTheme="minorHAnsi" w:eastAsiaTheme="minorHAnsi" w:hAnsiTheme="minorHAnsi"/>
          <w:sz w:val="22"/>
          <w:szCs w:val="22"/>
          <w:lang w:val="es-PR"/>
        </w:rPr>
        <w:t>Dev</w:t>
      </w:r>
      <w:proofErr w:type="spellEnd"/>
      <w:r w:rsidRPr="002B2E70">
        <w:rPr>
          <w:rStyle w:val="tlid-translation"/>
          <w:rFonts w:asciiTheme="minorHAnsi" w:eastAsiaTheme="minorHAnsi" w:hAnsiTheme="minorHAnsi"/>
          <w:sz w:val="22"/>
          <w:szCs w:val="22"/>
          <w:lang w:val="es-PR"/>
        </w:rPr>
        <w:t xml:space="preserve"> </w:t>
      </w:r>
      <w:proofErr w:type="spellStart"/>
      <w:r w:rsidRPr="002B2E70">
        <w:rPr>
          <w:rStyle w:val="tlid-translation"/>
          <w:rFonts w:asciiTheme="minorHAnsi" w:eastAsiaTheme="minorHAnsi" w:hAnsiTheme="minorHAnsi"/>
          <w:sz w:val="22"/>
          <w:szCs w:val="22"/>
          <w:lang w:val="es-PR"/>
        </w:rPr>
        <w:t>Comp</w:t>
      </w:r>
      <w:proofErr w:type="spellEnd"/>
      <w:r w:rsidRPr="002B2E70">
        <w:rPr>
          <w:rStyle w:val="tlid-translation"/>
          <w:rFonts w:asciiTheme="minorHAnsi" w:eastAsiaTheme="minorHAnsi" w:hAnsiTheme="minorHAnsi"/>
          <w:sz w:val="22"/>
          <w:szCs w:val="22"/>
          <w:lang w:val="es-PR"/>
        </w:rPr>
        <w:t xml:space="preserve"> </w:t>
      </w:r>
      <w:proofErr w:type="spellStart"/>
      <w:r w:rsidRPr="002B2E70">
        <w:rPr>
          <w:rStyle w:val="tlid-translation"/>
          <w:rFonts w:asciiTheme="minorHAnsi" w:eastAsiaTheme="minorHAnsi" w:hAnsiTheme="minorHAnsi"/>
          <w:sz w:val="22"/>
          <w:szCs w:val="22"/>
          <w:lang w:val="es-PR"/>
        </w:rPr>
        <w:lastRenderedPageBreak/>
        <w:t>Immunol</w:t>
      </w:r>
      <w:proofErr w:type="spellEnd"/>
      <w:r w:rsidRPr="002B2E70">
        <w:rPr>
          <w:rStyle w:val="tlid-translation"/>
          <w:rFonts w:asciiTheme="minorHAnsi" w:eastAsiaTheme="minorHAnsi" w:hAnsiTheme="minorHAnsi"/>
          <w:sz w:val="22"/>
          <w:szCs w:val="22"/>
          <w:lang w:val="es-PR"/>
        </w:rPr>
        <w:t>. 2017 Feb</w:t>
      </w:r>
      <w:proofErr w:type="gramStart"/>
      <w:r w:rsidRPr="002B2E70">
        <w:rPr>
          <w:rStyle w:val="tlid-translation"/>
          <w:rFonts w:asciiTheme="minorHAnsi" w:eastAsiaTheme="minorHAnsi" w:hAnsiTheme="minorHAnsi"/>
          <w:sz w:val="22"/>
          <w:szCs w:val="22"/>
          <w:lang w:val="es-PR"/>
        </w:rPr>
        <w:t>;67:310</w:t>
      </w:r>
      <w:proofErr w:type="gramEnd"/>
      <w:r w:rsidRPr="002B2E70">
        <w:rPr>
          <w:rStyle w:val="tlid-translation"/>
          <w:rFonts w:asciiTheme="minorHAnsi" w:eastAsiaTheme="minorHAnsi" w:hAnsiTheme="minorHAnsi"/>
          <w:sz w:val="22"/>
          <w:szCs w:val="22"/>
          <w:lang w:val="es-PR"/>
        </w:rPr>
        <w:t xml:space="preserve">-321. </w:t>
      </w:r>
      <w:proofErr w:type="spellStart"/>
      <w:proofErr w:type="gramStart"/>
      <w:r w:rsidRPr="002B2E70">
        <w:rPr>
          <w:rStyle w:val="tlid-translation"/>
          <w:rFonts w:asciiTheme="minorHAnsi" w:eastAsiaTheme="minorHAnsi" w:hAnsiTheme="minorHAnsi"/>
          <w:sz w:val="22"/>
          <w:szCs w:val="22"/>
          <w:lang w:val="es-PR"/>
        </w:rPr>
        <w:t>doi</w:t>
      </w:r>
      <w:proofErr w:type="spellEnd"/>
      <w:proofErr w:type="gramEnd"/>
      <w:r w:rsidRPr="002B2E70">
        <w:rPr>
          <w:rStyle w:val="tlid-translation"/>
          <w:rFonts w:asciiTheme="minorHAnsi" w:eastAsiaTheme="minorHAnsi" w:hAnsiTheme="minorHAnsi"/>
          <w:sz w:val="22"/>
          <w:szCs w:val="22"/>
          <w:lang w:val="es-PR"/>
        </w:rPr>
        <w:t>: 10.1016/j.dci.2016.09.002.</w:t>
      </w:r>
    </w:p>
    <w:p w:rsidR="002B2E70" w:rsidRPr="002B2E70" w:rsidRDefault="002B2E70" w:rsidP="002B2E70">
      <w:pPr>
        <w:pStyle w:val="Textoindependiente"/>
        <w:ind w:left="567" w:right="125" w:hanging="568"/>
        <w:jc w:val="both"/>
        <w:rPr>
          <w:rStyle w:val="tlid-translation"/>
          <w:rFonts w:asciiTheme="minorHAnsi" w:eastAsiaTheme="minorHAnsi" w:hAnsiTheme="minorHAnsi"/>
          <w:sz w:val="22"/>
          <w:szCs w:val="22"/>
        </w:rPr>
      </w:pPr>
      <w:r w:rsidRPr="002B2E70">
        <w:rPr>
          <w:rStyle w:val="tlid-translation"/>
          <w:rFonts w:asciiTheme="minorHAnsi" w:eastAsiaTheme="minorHAnsi" w:hAnsiTheme="minorHAnsi"/>
          <w:sz w:val="22"/>
          <w:szCs w:val="22"/>
          <w:u w:val="single"/>
        </w:rPr>
        <w:t>Pardo-Ruiz, Z</w:t>
      </w:r>
      <w:r w:rsidRPr="002B2E70">
        <w:rPr>
          <w:rStyle w:val="tlid-translation"/>
          <w:rFonts w:asciiTheme="minorHAnsi" w:eastAsiaTheme="minorHAnsi" w:hAnsiTheme="minorHAnsi"/>
          <w:sz w:val="22"/>
          <w:szCs w:val="22"/>
        </w:rPr>
        <w:t>., Menéndez-</w:t>
      </w:r>
      <w:proofErr w:type="spellStart"/>
      <w:r w:rsidRPr="002B2E70">
        <w:rPr>
          <w:rStyle w:val="tlid-translation"/>
          <w:rFonts w:asciiTheme="minorHAnsi" w:eastAsiaTheme="minorHAnsi" w:hAnsiTheme="minorHAnsi"/>
          <w:sz w:val="22"/>
          <w:szCs w:val="22"/>
        </w:rPr>
        <w:t>Sardiñas</w:t>
      </w:r>
      <w:proofErr w:type="spellEnd"/>
      <w:r w:rsidRPr="002B2E70">
        <w:rPr>
          <w:rStyle w:val="tlid-translation"/>
          <w:rFonts w:asciiTheme="minorHAnsi" w:eastAsiaTheme="minorHAnsi" w:hAnsiTheme="minorHAnsi"/>
          <w:sz w:val="22"/>
          <w:szCs w:val="22"/>
        </w:rPr>
        <w:t xml:space="preserve">, D.E., </w:t>
      </w:r>
      <w:proofErr w:type="spellStart"/>
      <w:r w:rsidRPr="002B2E70">
        <w:rPr>
          <w:rStyle w:val="tlid-translation"/>
          <w:rFonts w:asciiTheme="minorHAnsi" w:eastAsiaTheme="minorHAnsi" w:hAnsiTheme="minorHAnsi"/>
          <w:sz w:val="22"/>
          <w:szCs w:val="22"/>
        </w:rPr>
        <w:t>Pacios-Michelena</w:t>
      </w:r>
      <w:proofErr w:type="spellEnd"/>
      <w:r w:rsidRPr="002B2E70">
        <w:rPr>
          <w:rStyle w:val="tlid-translation"/>
          <w:rFonts w:asciiTheme="minorHAnsi" w:eastAsiaTheme="minorHAnsi" w:hAnsiTheme="minorHAnsi"/>
          <w:sz w:val="22"/>
          <w:szCs w:val="22"/>
        </w:rPr>
        <w:t xml:space="preserve">, A., </w:t>
      </w:r>
      <w:proofErr w:type="spellStart"/>
      <w:r w:rsidRPr="002B2E70">
        <w:rPr>
          <w:rStyle w:val="tlid-translation"/>
          <w:rFonts w:asciiTheme="minorHAnsi" w:eastAsiaTheme="minorHAnsi" w:hAnsiTheme="minorHAnsi"/>
          <w:sz w:val="22"/>
          <w:szCs w:val="22"/>
        </w:rPr>
        <w:t>Gabilondo</w:t>
      </w:r>
      <w:proofErr w:type="spellEnd"/>
      <w:r w:rsidRPr="002B2E70">
        <w:rPr>
          <w:rStyle w:val="tlid-translation"/>
          <w:rFonts w:asciiTheme="minorHAnsi" w:eastAsiaTheme="minorHAnsi" w:hAnsiTheme="minorHAnsi"/>
          <w:sz w:val="22"/>
          <w:szCs w:val="22"/>
        </w:rPr>
        <w:t>-Ramírez, T., Montero-</w:t>
      </w:r>
      <w:proofErr w:type="spellStart"/>
      <w:r w:rsidRPr="002B2E70">
        <w:rPr>
          <w:rStyle w:val="tlid-translation"/>
          <w:rFonts w:asciiTheme="minorHAnsi" w:eastAsiaTheme="minorHAnsi" w:hAnsiTheme="minorHAnsi"/>
          <w:sz w:val="22"/>
          <w:szCs w:val="22"/>
        </w:rPr>
        <w:t>Alejo</w:t>
      </w:r>
      <w:proofErr w:type="spellEnd"/>
      <w:r w:rsidRPr="002B2E70">
        <w:rPr>
          <w:rStyle w:val="tlid-translation"/>
          <w:rFonts w:asciiTheme="minorHAnsi" w:eastAsiaTheme="minorHAnsi" w:hAnsiTheme="minorHAnsi"/>
          <w:sz w:val="22"/>
          <w:szCs w:val="22"/>
        </w:rPr>
        <w:t xml:space="preserve">, V., </w:t>
      </w:r>
      <w:proofErr w:type="spellStart"/>
      <w:r w:rsidRPr="002B2E70">
        <w:rPr>
          <w:rStyle w:val="tlid-translation"/>
          <w:rFonts w:asciiTheme="minorHAnsi" w:eastAsiaTheme="minorHAnsi" w:hAnsiTheme="minorHAnsi"/>
          <w:sz w:val="22"/>
          <w:szCs w:val="22"/>
        </w:rPr>
        <w:t>Perdomo</w:t>
      </w:r>
      <w:proofErr w:type="spellEnd"/>
      <w:r w:rsidRPr="002B2E70">
        <w:rPr>
          <w:rStyle w:val="tlid-translation"/>
          <w:rFonts w:asciiTheme="minorHAnsi" w:eastAsiaTheme="minorHAnsi" w:hAnsiTheme="minorHAnsi"/>
          <w:sz w:val="22"/>
          <w:szCs w:val="22"/>
        </w:rPr>
        <w:t xml:space="preserve">-Morales, R. Soluble </w:t>
      </w:r>
      <w:r w:rsidRPr="002B2E70">
        <w:rPr>
          <w:rStyle w:val="tlid-translation"/>
          <w:rFonts w:asciiTheme="minorHAnsi" w:eastAsiaTheme="minorHAnsi" w:hAnsiTheme="minorHAnsi"/>
          <w:sz w:val="22"/>
          <w:szCs w:val="22"/>
          <w:lang w:val="es-PR"/>
        </w:rPr>
        <w:t>β</w:t>
      </w:r>
      <w:r w:rsidRPr="002B2E70">
        <w:rPr>
          <w:rStyle w:val="tlid-translation"/>
          <w:rFonts w:asciiTheme="minorHAnsi" w:eastAsiaTheme="minorHAnsi" w:hAnsiTheme="minorHAnsi"/>
          <w:sz w:val="22"/>
          <w:szCs w:val="22"/>
        </w:rPr>
        <w:t>-(1</w:t>
      </w:r>
      <w:proofErr w:type="gramStart"/>
      <w:r w:rsidRPr="002B2E70">
        <w:rPr>
          <w:rStyle w:val="tlid-translation"/>
          <w:rFonts w:asciiTheme="minorHAnsi" w:eastAsiaTheme="minorHAnsi" w:hAnsiTheme="minorHAnsi"/>
          <w:sz w:val="22"/>
          <w:szCs w:val="22"/>
        </w:rPr>
        <w:t>,3</w:t>
      </w:r>
      <w:proofErr w:type="gramEnd"/>
      <w:r w:rsidRPr="002B2E70">
        <w:rPr>
          <w:rStyle w:val="tlid-translation"/>
          <w:rFonts w:asciiTheme="minorHAnsi" w:eastAsiaTheme="minorHAnsi" w:hAnsiTheme="minorHAnsi"/>
          <w:sz w:val="22"/>
          <w:szCs w:val="22"/>
        </w:rPr>
        <w:t>)-</w:t>
      </w:r>
      <w:proofErr w:type="spellStart"/>
      <w:r w:rsidRPr="002B2E70">
        <w:rPr>
          <w:rStyle w:val="tlid-translation"/>
          <w:rFonts w:asciiTheme="minorHAnsi" w:eastAsiaTheme="minorHAnsi" w:hAnsiTheme="minorHAnsi"/>
          <w:sz w:val="22"/>
          <w:szCs w:val="22"/>
        </w:rPr>
        <w:t>glucans</w:t>
      </w:r>
      <w:proofErr w:type="spellEnd"/>
      <w:r w:rsidRPr="002B2E70">
        <w:rPr>
          <w:rStyle w:val="tlid-translation"/>
          <w:rFonts w:asciiTheme="minorHAnsi" w:eastAsiaTheme="minorHAnsi" w:hAnsiTheme="minorHAnsi"/>
          <w:sz w:val="22"/>
          <w:szCs w:val="22"/>
        </w:rPr>
        <w:t xml:space="preserve"> enhance LPS-induced response in the monocyte activation test, but inhibit LPS-mediated febrile response in rabbits: implications for </w:t>
      </w:r>
      <w:proofErr w:type="spellStart"/>
      <w:r w:rsidRPr="002B2E70">
        <w:rPr>
          <w:rStyle w:val="tlid-translation"/>
          <w:rFonts w:asciiTheme="minorHAnsi" w:eastAsiaTheme="minorHAnsi" w:hAnsiTheme="minorHAnsi"/>
          <w:sz w:val="22"/>
          <w:szCs w:val="22"/>
        </w:rPr>
        <w:t>pyrogenicity</w:t>
      </w:r>
      <w:proofErr w:type="spellEnd"/>
      <w:r w:rsidRPr="002B2E70">
        <w:rPr>
          <w:rStyle w:val="tlid-translation"/>
          <w:rFonts w:asciiTheme="minorHAnsi" w:eastAsiaTheme="minorHAnsi" w:hAnsiTheme="minorHAnsi"/>
          <w:sz w:val="22"/>
          <w:szCs w:val="22"/>
        </w:rPr>
        <w:t xml:space="preserve"> tests. European Journal of Pharmaceutical Sciences 81 (2016) 18–26.</w:t>
      </w:r>
    </w:p>
    <w:p w:rsidR="002B2E70" w:rsidRPr="002B2E70" w:rsidRDefault="002B2E70" w:rsidP="002B2E70">
      <w:pPr>
        <w:pStyle w:val="Textoindependiente"/>
        <w:ind w:left="567" w:right="125" w:hanging="568"/>
        <w:jc w:val="both"/>
        <w:rPr>
          <w:rStyle w:val="tlid-translation"/>
          <w:rFonts w:asciiTheme="minorHAnsi" w:eastAsiaTheme="minorHAnsi" w:hAnsiTheme="minorHAnsi"/>
          <w:sz w:val="22"/>
          <w:szCs w:val="22"/>
          <w:lang w:val="es-PR"/>
        </w:rPr>
      </w:pPr>
      <w:r w:rsidRPr="002B2E70">
        <w:rPr>
          <w:rStyle w:val="tlid-translation"/>
          <w:rFonts w:asciiTheme="minorHAnsi" w:eastAsiaTheme="minorHAnsi" w:hAnsiTheme="minorHAnsi"/>
          <w:sz w:val="22"/>
          <w:szCs w:val="22"/>
        </w:rPr>
        <w:t>Muñoz-</w:t>
      </w:r>
      <w:proofErr w:type="spellStart"/>
      <w:r w:rsidRPr="002B2E70">
        <w:rPr>
          <w:rStyle w:val="tlid-translation"/>
          <w:rFonts w:asciiTheme="minorHAnsi" w:eastAsiaTheme="minorHAnsi" w:hAnsiTheme="minorHAnsi"/>
          <w:sz w:val="22"/>
          <w:szCs w:val="22"/>
        </w:rPr>
        <w:t>Cernada</w:t>
      </w:r>
      <w:proofErr w:type="spellEnd"/>
      <w:r w:rsidRPr="002B2E70">
        <w:rPr>
          <w:rStyle w:val="tlid-translation"/>
          <w:rFonts w:asciiTheme="minorHAnsi" w:eastAsiaTheme="minorHAnsi" w:hAnsiTheme="minorHAnsi"/>
          <w:sz w:val="22"/>
          <w:szCs w:val="22"/>
        </w:rPr>
        <w:t xml:space="preserve">, A., </w:t>
      </w:r>
      <w:r w:rsidRPr="002B2E70">
        <w:rPr>
          <w:rStyle w:val="tlid-translation"/>
          <w:rFonts w:asciiTheme="minorHAnsi" w:eastAsiaTheme="minorHAnsi" w:hAnsiTheme="minorHAnsi"/>
          <w:sz w:val="22"/>
          <w:szCs w:val="22"/>
          <w:u w:val="single"/>
        </w:rPr>
        <w:t>Pardo-Ruiz, Z</w:t>
      </w:r>
      <w:r w:rsidRPr="002B2E70">
        <w:rPr>
          <w:rStyle w:val="tlid-translation"/>
          <w:rFonts w:asciiTheme="minorHAnsi" w:eastAsiaTheme="minorHAnsi" w:hAnsiTheme="minorHAnsi"/>
          <w:sz w:val="22"/>
          <w:szCs w:val="22"/>
        </w:rPr>
        <w:t xml:space="preserve">., </w:t>
      </w:r>
      <w:proofErr w:type="spellStart"/>
      <w:r w:rsidRPr="002B2E70">
        <w:rPr>
          <w:rStyle w:val="tlid-translation"/>
          <w:rFonts w:asciiTheme="minorHAnsi" w:eastAsiaTheme="minorHAnsi" w:hAnsiTheme="minorHAnsi"/>
          <w:sz w:val="22"/>
          <w:szCs w:val="22"/>
        </w:rPr>
        <w:t>Cardentey</w:t>
      </w:r>
      <w:proofErr w:type="spellEnd"/>
      <w:r w:rsidRPr="002B2E70">
        <w:rPr>
          <w:rStyle w:val="tlid-translation"/>
          <w:rFonts w:asciiTheme="minorHAnsi" w:eastAsiaTheme="minorHAnsi" w:hAnsiTheme="minorHAnsi"/>
          <w:sz w:val="22"/>
          <w:szCs w:val="22"/>
        </w:rPr>
        <w:t>, J., Montero-</w:t>
      </w:r>
      <w:proofErr w:type="spellStart"/>
      <w:r w:rsidRPr="002B2E70">
        <w:rPr>
          <w:rStyle w:val="tlid-translation"/>
          <w:rFonts w:asciiTheme="minorHAnsi" w:eastAsiaTheme="minorHAnsi" w:hAnsiTheme="minorHAnsi"/>
          <w:sz w:val="22"/>
          <w:szCs w:val="22"/>
        </w:rPr>
        <w:t>Alejo</w:t>
      </w:r>
      <w:proofErr w:type="spellEnd"/>
      <w:r w:rsidRPr="002B2E70">
        <w:rPr>
          <w:rStyle w:val="tlid-translation"/>
          <w:rFonts w:asciiTheme="minorHAnsi" w:eastAsiaTheme="minorHAnsi" w:hAnsiTheme="minorHAnsi"/>
          <w:sz w:val="22"/>
          <w:szCs w:val="22"/>
        </w:rPr>
        <w:t xml:space="preserve">, V., Fernández- Cervera, M., García-Rodríguez, J., </w:t>
      </w:r>
      <w:proofErr w:type="spellStart"/>
      <w:r w:rsidRPr="002B2E70">
        <w:rPr>
          <w:rStyle w:val="tlid-translation"/>
          <w:rFonts w:asciiTheme="minorHAnsi" w:eastAsiaTheme="minorHAnsi" w:hAnsiTheme="minorHAnsi"/>
          <w:sz w:val="22"/>
          <w:szCs w:val="22"/>
        </w:rPr>
        <w:t>Amaro</w:t>
      </w:r>
      <w:proofErr w:type="spellEnd"/>
      <w:r w:rsidRPr="002B2E70">
        <w:rPr>
          <w:rStyle w:val="tlid-translation"/>
          <w:rFonts w:asciiTheme="minorHAnsi" w:eastAsiaTheme="minorHAnsi" w:hAnsiTheme="minorHAnsi"/>
          <w:sz w:val="22"/>
          <w:szCs w:val="22"/>
        </w:rPr>
        <w:t xml:space="preserve">-González, D. Physicochemical and Biological Evaluation of </w:t>
      </w:r>
      <w:proofErr w:type="spellStart"/>
      <w:r w:rsidRPr="002B2E70">
        <w:rPr>
          <w:rStyle w:val="tlid-translation"/>
          <w:rFonts w:asciiTheme="minorHAnsi" w:eastAsiaTheme="minorHAnsi" w:hAnsiTheme="minorHAnsi"/>
          <w:sz w:val="22"/>
          <w:szCs w:val="22"/>
        </w:rPr>
        <w:t>Bioadhesive</w:t>
      </w:r>
      <w:proofErr w:type="spellEnd"/>
      <w:r w:rsidRPr="002B2E70">
        <w:rPr>
          <w:rStyle w:val="tlid-translation"/>
          <w:rFonts w:asciiTheme="minorHAnsi" w:eastAsiaTheme="minorHAnsi" w:hAnsiTheme="minorHAnsi"/>
          <w:sz w:val="22"/>
          <w:szCs w:val="22"/>
        </w:rPr>
        <w:t xml:space="preserve"> Polymers for the Development of Intranasal Low </w:t>
      </w:r>
      <w:proofErr w:type="spellStart"/>
      <w:r w:rsidRPr="002B2E70">
        <w:rPr>
          <w:rStyle w:val="tlid-translation"/>
          <w:rFonts w:asciiTheme="minorHAnsi" w:eastAsiaTheme="minorHAnsi" w:hAnsiTheme="minorHAnsi"/>
          <w:sz w:val="22"/>
          <w:szCs w:val="22"/>
        </w:rPr>
        <w:t>Sialic</w:t>
      </w:r>
      <w:proofErr w:type="spellEnd"/>
      <w:r w:rsidRPr="002B2E70">
        <w:rPr>
          <w:rStyle w:val="tlid-translation"/>
          <w:rFonts w:asciiTheme="minorHAnsi" w:eastAsiaTheme="minorHAnsi" w:hAnsiTheme="minorHAnsi"/>
          <w:sz w:val="22"/>
          <w:szCs w:val="22"/>
        </w:rPr>
        <w:t xml:space="preserve"> Acid Erythropoietin Formulations. </w:t>
      </w:r>
      <w:proofErr w:type="spellStart"/>
      <w:r w:rsidRPr="002B2E70">
        <w:rPr>
          <w:rStyle w:val="tlid-translation"/>
          <w:rFonts w:asciiTheme="minorHAnsi" w:eastAsiaTheme="minorHAnsi" w:hAnsiTheme="minorHAnsi"/>
          <w:sz w:val="22"/>
          <w:szCs w:val="22"/>
          <w:lang w:val="es-PR"/>
        </w:rPr>
        <w:t>BioProcessing</w:t>
      </w:r>
      <w:proofErr w:type="spellEnd"/>
      <w:r w:rsidRPr="002B2E70">
        <w:rPr>
          <w:rStyle w:val="tlid-translation"/>
          <w:rFonts w:asciiTheme="minorHAnsi" w:eastAsiaTheme="minorHAnsi" w:hAnsiTheme="minorHAnsi"/>
          <w:sz w:val="22"/>
          <w:szCs w:val="22"/>
          <w:lang w:val="es-PR"/>
        </w:rPr>
        <w:t xml:space="preserve"> </w:t>
      </w:r>
      <w:proofErr w:type="spellStart"/>
      <w:r w:rsidRPr="002B2E70">
        <w:rPr>
          <w:rStyle w:val="tlid-translation"/>
          <w:rFonts w:asciiTheme="minorHAnsi" w:eastAsiaTheme="minorHAnsi" w:hAnsiTheme="minorHAnsi"/>
          <w:sz w:val="22"/>
          <w:szCs w:val="22"/>
          <w:lang w:val="es-PR"/>
        </w:rPr>
        <w:t>Journal</w:t>
      </w:r>
      <w:proofErr w:type="spellEnd"/>
      <w:r w:rsidRPr="002B2E70">
        <w:rPr>
          <w:rStyle w:val="tlid-translation"/>
          <w:rFonts w:asciiTheme="minorHAnsi" w:eastAsiaTheme="minorHAnsi" w:hAnsiTheme="minorHAnsi"/>
          <w:sz w:val="22"/>
          <w:szCs w:val="22"/>
          <w:lang w:val="es-PR"/>
        </w:rPr>
        <w:t xml:space="preserve"> 13(1). 2014.</w:t>
      </w:r>
    </w:p>
    <w:p w:rsidR="002B2E70" w:rsidRPr="002B2E70" w:rsidRDefault="002B2E70" w:rsidP="002B2E70">
      <w:pPr>
        <w:pStyle w:val="Textoindependiente"/>
        <w:ind w:left="567" w:right="125" w:hanging="568"/>
        <w:jc w:val="both"/>
        <w:rPr>
          <w:rStyle w:val="tlid-translation"/>
          <w:rFonts w:asciiTheme="minorHAnsi" w:eastAsiaTheme="minorHAnsi" w:hAnsiTheme="minorHAnsi"/>
          <w:sz w:val="22"/>
          <w:szCs w:val="22"/>
          <w:lang w:val="es-PR"/>
        </w:rPr>
      </w:pPr>
      <w:r w:rsidRPr="002B2E70">
        <w:rPr>
          <w:rStyle w:val="tlid-translation"/>
          <w:rFonts w:asciiTheme="minorHAnsi" w:eastAsiaTheme="minorHAnsi" w:hAnsiTheme="minorHAnsi"/>
          <w:sz w:val="22"/>
          <w:szCs w:val="22"/>
        </w:rPr>
        <w:t>Muñoz-</w:t>
      </w:r>
      <w:proofErr w:type="spellStart"/>
      <w:r w:rsidRPr="002B2E70">
        <w:rPr>
          <w:rStyle w:val="tlid-translation"/>
          <w:rFonts w:asciiTheme="minorHAnsi" w:eastAsiaTheme="minorHAnsi" w:hAnsiTheme="minorHAnsi"/>
          <w:sz w:val="22"/>
          <w:szCs w:val="22"/>
        </w:rPr>
        <w:t>Cernada</w:t>
      </w:r>
      <w:proofErr w:type="spellEnd"/>
      <w:r w:rsidRPr="002B2E70">
        <w:rPr>
          <w:rStyle w:val="tlid-translation"/>
          <w:rFonts w:asciiTheme="minorHAnsi" w:eastAsiaTheme="minorHAnsi" w:hAnsiTheme="minorHAnsi"/>
          <w:sz w:val="22"/>
          <w:szCs w:val="22"/>
        </w:rPr>
        <w:t xml:space="preserve">, A., </w:t>
      </w:r>
      <w:r w:rsidRPr="002B2E70">
        <w:rPr>
          <w:rStyle w:val="tlid-translation"/>
          <w:rFonts w:asciiTheme="minorHAnsi" w:eastAsiaTheme="minorHAnsi" w:hAnsiTheme="minorHAnsi"/>
          <w:sz w:val="22"/>
          <w:szCs w:val="22"/>
          <w:u w:val="single"/>
        </w:rPr>
        <w:t>Pardo-Ruiz, Z</w:t>
      </w:r>
      <w:r w:rsidRPr="002B2E70">
        <w:rPr>
          <w:rStyle w:val="tlid-translation"/>
          <w:rFonts w:asciiTheme="minorHAnsi" w:eastAsiaTheme="minorHAnsi" w:hAnsiTheme="minorHAnsi"/>
          <w:sz w:val="22"/>
          <w:szCs w:val="22"/>
        </w:rPr>
        <w:t>., Montero-</w:t>
      </w:r>
      <w:proofErr w:type="spellStart"/>
      <w:r w:rsidRPr="002B2E70">
        <w:rPr>
          <w:rStyle w:val="tlid-translation"/>
          <w:rFonts w:asciiTheme="minorHAnsi" w:eastAsiaTheme="minorHAnsi" w:hAnsiTheme="minorHAnsi"/>
          <w:sz w:val="22"/>
          <w:szCs w:val="22"/>
        </w:rPr>
        <w:t>Alejo</w:t>
      </w:r>
      <w:proofErr w:type="spellEnd"/>
      <w:r w:rsidRPr="002B2E70">
        <w:rPr>
          <w:rStyle w:val="tlid-translation"/>
          <w:rFonts w:asciiTheme="minorHAnsi" w:eastAsiaTheme="minorHAnsi" w:hAnsiTheme="minorHAnsi"/>
          <w:sz w:val="22"/>
          <w:szCs w:val="22"/>
        </w:rPr>
        <w:t xml:space="preserve">, V., Fernández-Cervera, M., Sosa- </w:t>
      </w:r>
      <w:proofErr w:type="spellStart"/>
      <w:r w:rsidRPr="002B2E70">
        <w:rPr>
          <w:rStyle w:val="tlid-translation"/>
          <w:rFonts w:asciiTheme="minorHAnsi" w:eastAsiaTheme="minorHAnsi" w:hAnsiTheme="minorHAnsi"/>
          <w:sz w:val="22"/>
          <w:szCs w:val="22"/>
        </w:rPr>
        <w:t>Testé</w:t>
      </w:r>
      <w:proofErr w:type="spellEnd"/>
      <w:r w:rsidRPr="002B2E70">
        <w:rPr>
          <w:rStyle w:val="tlid-translation"/>
          <w:rFonts w:asciiTheme="minorHAnsi" w:eastAsiaTheme="minorHAnsi" w:hAnsiTheme="minorHAnsi"/>
          <w:sz w:val="22"/>
          <w:szCs w:val="22"/>
        </w:rPr>
        <w:t xml:space="preserve">, I., García-Rodríguez, J. Effect of Nonionic Surfactants and HPMC F4M on the Development of Formulations of </w:t>
      </w:r>
      <w:proofErr w:type="spellStart"/>
      <w:r w:rsidRPr="002B2E70">
        <w:rPr>
          <w:rStyle w:val="tlid-translation"/>
          <w:rFonts w:asciiTheme="minorHAnsi" w:eastAsiaTheme="minorHAnsi" w:hAnsiTheme="minorHAnsi"/>
          <w:sz w:val="22"/>
          <w:szCs w:val="22"/>
        </w:rPr>
        <w:t>Neuro</w:t>
      </w:r>
      <w:proofErr w:type="spellEnd"/>
      <w:r w:rsidRPr="002B2E70">
        <w:rPr>
          <w:rStyle w:val="tlid-translation"/>
          <w:rFonts w:asciiTheme="minorHAnsi" w:eastAsiaTheme="minorHAnsi" w:hAnsiTheme="minorHAnsi"/>
          <w:sz w:val="22"/>
          <w:szCs w:val="22"/>
        </w:rPr>
        <w:t xml:space="preserve">-EPO as a </w:t>
      </w:r>
      <w:proofErr w:type="spellStart"/>
      <w:r w:rsidRPr="002B2E70">
        <w:rPr>
          <w:rStyle w:val="tlid-translation"/>
          <w:rFonts w:asciiTheme="minorHAnsi" w:eastAsiaTheme="minorHAnsi" w:hAnsiTheme="minorHAnsi"/>
          <w:sz w:val="22"/>
          <w:szCs w:val="22"/>
        </w:rPr>
        <w:t>Neuroprotective</w:t>
      </w:r>
      <w:proofErr w:type="spellEnd"/>
      <w:r w:rsidRPr="002B2E70">
        <w:rPr>
          <w:rStyle w:val="tlid-translation"/>
          <w:rFonts w:asciiTheme="minorHAnsi" w:eastAsiaTheme="minorHAnsi" w:hAnsiTheme="minorHAnsi"/>
          <w:sz w:val="22"/>
          <w:szCs w:val="22"/>
        </w:rPr>
        <w:t xml:space="preserve"> Agent. </w:t>
      </w:r>
      <w:proofErr w:type="spellStart"/>
      <w:r w:rsidRPr="002B2E70">
        <w:rPr>
          <w:rStyle w:val="tlid-translation"/>
          <w:rFonts w:asciiTheme="minorHAnsi" w:eastAsiaTheme="minorHAnsi" w:hAnsiTheme="minorHAnsi"/>
          <w:sz w:val="22"/>
          <w:szCs w:val="22"/>
          <w:lang w:val="es-PR"/>
        </w:rPr>
        <w:t>Advanced</w:t>
      </w:r>
      <w:proofErr w:type="spellEnd"/>
      <w:r w:rsidRPr="002B2E70">
        <w:rPr>
          <w:rStyle w:val="tlid-translation"/>
          <w:rFonts w:asciiTheme="minorHAnsi" w:eastAsiaTheme="minorHAnsi" w:hAnsiTheme="minorHAnsi"/>
          <w:sz w:val="22"/>
          <w:szCs w:val="22"/>
          <w:lang w:val="es-PR"/>
        </w:rPr>
        <w:t xml:space="preserve"> Pharmaceutical Science and Technology (2014) 1(2).</w:t>
      </w:r>
    </w:p>
    <w:p w:rsidR="002B2E70" w:rsidRPr="002B2E70" w:rsidRDefault="002B2E70" w:rsidP="002B2E70">
      <w:pPr>
        <w:pStyle w:val="Textoindependiente"/>
        <w:ind w:left="567" w:right="125" w:hanging="568"/>
        <w:jc w:val="both"/>
        <w:rPr>
          <w:rStyle w:val="tlid-translation"/>
          <w:rFonts w:asciiTheme="minorHAnsi" w:eastAsiaTheme="minorHAnsi" w:hAnsiTheme="minorHAnsi"/>
          <w:sz w:val="22"/>
          <w:szCs w:val="22"/>
          <w:lang w:val="es-PR"/>
        </w:rPr>
      </w:pPr>
      <w:r w:rsidRPr="002B2E70">
        <w:rPr>
          <w:rStyle w:val="tlid-translation"/>
          <w:rFonts w:asciiTheme="minorHAnsi" w:eastAsiaTheme="minorHAnsi" w:hAnsiTheme="minorHAnsi"/>
          <w:sz w:val="22"/>
          <w:szCs w:val="22"/>
          <w:u w:val="single"/>
          <w:lang w:val="es-PR"/>
        </w:rPr>
        <w:t>Pardo-Ruiz, Z</w:t>
      </w:r>
      <w:r w:rsidRPr="002B2E70">
        <w:rPr>
          <w:rStyle w:val="tlid-translation"/>
          <w:rFonts w:asciiTheme="minorHAnsi" w:eastAsiaTheme="minorHAnsi" w:hAnsiTheme="minorHAnsi"/>
          <w:sz w:val="22"/>
          <w:szCs w:val="22"/>
          <w:lang w:val="es-PR"/>
        </w:rPr>
        <w:t xml:space="preserve">., Perdomo-Morales, R. Las β-1-3-glucanas: moléculas </w:t>
      </w:r>
      <w:proofErr w:type="spellStart"/>
      <w:r w:rsidRPr="002B2E70">
        <w:rPr>
          <w:rStyle w:val="tlid-translation"/>
          <w:rFonts w:asciiTheme="minorHAnsi" w:eastAsiaTheme="minorHAnsi" w:hAnsiTheme="minorHAnsi"/>
          <w:sz w:val="22"/>
          <w:szCs w:val="22"/>
          <w:lang w:val="es-PR"/>
        </w:rPr>
        <w:t>inmunomoduladoras</w:t>
      </w:r>
      <w:proofErr w:type="spellEnd"/>
      <w:r w:rsidRPr="002B2E70">
        <w:rPr>
          <w:rStyle w:val="tlid-translation"/>
          <w:rFonts w:asciiTheme="minorHAnsi" w:eastAsiaTheme="minorHAnsi" w:hAnsiTheme="minorHAnsi"/>
          <w:sz w:val="22"/>
          <w:szCs w:val="22"/>
          <w:lang w:val="es-PR"/>
        </w:rPr>
        <w:t xml:space="preserve"> contaminantes de productos farmacéuticos. </w:t>
      </w:r>
      <w:proofErr w:type="spellStart"/>
      <w:r w:rsidRPr="002B2E70">
        <w:rPr>
          <w:rStyle w:val="tlid-translation"/>
          <w:rFonts w:asciiTheme="minorHAnsi" w:eastAsiaTheme="minorHAnsi" w:hAnsiTheme="minorHAnsi"/>
          <w:sz w:val="22"/>
          <w:szCs w:val="22"/>
          <w:lang w:val="es-PR"/>
        </w:rPr>
        <w:t>Rev</w:t>
      </w:r>
      <w:proofErr w:type="spellEnd"/>
      <w:r w:rsidRPr="002B2E70">
        <w:rPr>
          <w:rStyle w:val="tlid-translation"/>
          <w:rFonts w:asciiTheme="minorHAnsi" w:eastAsiaTheme="minorHAnsi" w:hAnsiTheme="minorHAnsi"/>
          <w:sz w:val="22"/>
          <w:szCs w:val="22"/>
          <w:lang w:val="es-PR"/>
        </w:rPr>
        <w:t xml:space="preserve"> Cubana</w:t>
      </w:r>
      <w:r>
        <w:rPr>
          <w:rStyle w:val="tlid-translation"/>
          <w:rFonts w:asciiTheme="minorHAnsi" w:eastAsiaTheme="minorHAnsi" w:hAnsiTheme="minorHAnsi"/>
          <w:sz w:val="22"/>
          <w:szCs w:val="22"/>
          <w:lang w:val="es-PR"/>
        </w:rPr>
        <w:t xml:space="preserve"> </w:t>
      </w:r>
      <w:r w:rsidRPr="002B2E70">
        <w:rPr>
          <w:rStyle w:val="tlid-translation"/>
          <w:rFonts w:asciiTheme="minorHAnsi" w:eastAsiaTheme="minorHAnsi" w:hAnsiTheme="minorHAnsi"/>
          <w:sz w:val="22"/>
          <w:szCs w:val="22"/>
          <w:lang w:val="es-PR"/>
        </w:rPr>
        <w:t>Farm. Vol. 1. 2012.</w:t>
      </w:r>
    </w:p>
    <w:p w:rsidR="002B2E70" w:rsidRDefault="002B2E70" w:rsidP="002B2E70">
      <w:pPr>
        <w:pStyle w:val="Textoindependiente"/>
        <w:ind w:left="567" w:right="125" w:hanging="568"/>
        <w:jc w:val="both"/>
        <w:rPr>
          <w:rStyle w:val="tlid-translation"/>
          <w:rFonts w:asciiTheme="minorHAnsi" w:eastAsiaTheme="minorHAnsi" w:hAnsiTheme="minorHAnsi"/>
          <w:sz w:val="22"/>
          <w:szCs w:val="22"/>
        </w:rPr>
      </w:pPr>
      <w:proofErr w:type="spellStart"/>
      <w:r w:rsidRPr="002B2E70">
        <w:rPr>
          <w:rStyle w:val="tlid-translation"/>
          <w:rFonts w:asciiTheme="minorHAnsi" w:eastAsiaTheme="minorHAnsi" w:hAnsiTheme="minorHAnsi"/>
          <w:sz w:val="22"/>
          <w:szCs w:val="22"/>
        </w:rPr>
        <w:t>Perdomo</w:t>
      </w:r>
      <w:proofErr w:type="spellEnd"/>
      <w:r w:rsidRPr="002B2E70">
        <w:rPr>
          <w:rStyle w:val="tlid-translation"/>
          <w:rFonts w:asciiTheme="minorHAnsi" w:eastAsiaTheme="minorHAnsi" w:hAnsiTheme="minorHAnsi"/>
          <w:sz w:val="22"/>
          <w:szCs w:val="22"/>
        </w:rPr>
        <w:t xml:space="preserve">-Morales, R., </w:t>
      </w:r>
      <w:r w:rsidRPr="002B2E70">
        <w:rPr>
          <w:rStyle w:val="tlid-translation"/>
          <w:rFonts w:asciiTheme="minorHAnsi" w:eastAsiaTheme="minorHAnsi" w:hAnsiTheme="minorHAnsi"/>
          <w:sz w:val="22"/>
          <w:szCs w:val="22"/>
          <w:u w:val="single"/>
        </w:rPr>
        <w:t>Pardo-Ruiz, Z</w:t>
      </w:r>
      <w:r w:rsidRPr="002B2E70">
        <w:rPr>
          <w:rStyle w:val="tlid-translation"/>
          <w:rFonts w:asciiTheme="minorHAnsi" w:eastAsiaTheme="minorHAnsi" w:hAnsiTheme="minorHAnsi"/>
          <w:sz w:val="22"/>
          <w:szCs w:val="22"/>
        </w:rPr>
        <w:t>., Spreitzer, I., Lagarto, A., Montag, T. Monocyte Activation Test (MAT) Reliably Detects Pyrogens in Parenteral Formulations of Human Serum Albumin. ALTEX 28, 3/ 2011.</w:t>
      </w:r>
    </w:p>
    <w:p w:rsidR="002B2E70" w:rsidRDefault="002B2E70" w:rsidP="002B2E70">
      <w:pPr>
        <w:pStyle w:val="Textoindependiente"/>
        <w:ind w:left="567" w:right="125" w:hanging="568"/>
        <w:jc w:val="both"/>
        <w:rPr>
          <w:rStyle w:val="tlid-translation"/>
          <w:rFonts w:asciiTheme="minorHAnsi" w:eastAsiaTheme="minorHAnsi" w:hAnsiTheme="minorHAnsi"/>
          <w:sz w:val="22"/>
          <w:szCs w:val="22"/>
        </w:rPr>
      </w:pPr>
    </w:p>
    <w:p w:rsidR="002B2E70" w:rsidRDefault="002B2E70" w:rsidP="002B2E70">
      <w:pPr>
        <w:pStyle w:val="Textoindependiente"/>
        <w:ind w:left="567" w:right="125" w:hanging="568"/>
        <w:jc w:val="both"/>
        <w:rPr>
          <w:rStyle w:val="tlid-translation"/>
          <w:rFonts w:asciiTheme="minorHAnsi" w:eastAsiaTheme="minorHAnsi" w:hAnsiTheme="minorHAnsi"/>
          <w:sz w:val="22"/>
          <w:szCs w:val="22"/>
        </w:rPr>
      </w:pPr>
    </w:p>
    <w:p w:rsidR="002B2E70" w:rsidRDefault="002B2E70" w:rsidP="002B2E70">
      <w:pPr>
        <w:pStyle w:val="Textoindependiente"/>
        <w:ind w:left="567" w:right="125" w:hanging="568"/>
        <w:jc w:val="both"/>
        <w:rPr>
          <w:rStyle w:val="tlid-translation"/>
          <w:rFonts w:asciiTheme="minorHAnsi" w:eastAsiaTheme="minorHAnsi" w:hAnsiTheme="minorHAnsi"/>
          <w:sz w:val="22"/>
          <w:szCs w:val="22"/>
        </w:rPr>
      </w:pPr>
    </w:p>
    <w:p w:rsidR="003728E1" w:rsidRPr="003728E1" w:rsidRDefault="003728E1" w:rsidP="003728E1">
      <w:pPr>
        <w:tabs>
          <w:tab w:val="left" w:pos="7410"/>
        </w:tabs>
        <w:jc w:val="both"/>
        <w:rPr>
          <w:rStyle w:val="Hipervnculo"/>
          <w:b/>
          <w:color w:val="auto"/>
          <w:u w:val="none"/>
          <w:lang w:val="en-US"/>
        </w:rPr>
      </w:pPr>
      <w:r w:rsidRPr="003728E1">
        <w:rPr>
          <w:rStyle w:val="Hipervnculo"/>
          <w:b/>
          <w:color w:val="auto"/>
          <w:u w:val="none"/>
          <w:lang w:val="en-US"/>
        </w:rPr>
        <w:t>Biography:</w:t>
      </w:r>
    </w:p>
    <w:p w:rsidR="003728E1" w:rsidRDefault="003728E1" w:rsidP="002B2E70">
      <w:pPr>
        <w:pStyle w:val="Textoindependiente"/>
        <w:ind w:left="567" w:right="125" w:hanging="568"/>
        <w:jc w:val="both"/>
        <w:rPr>
          <w:rStyle w:val="tlid-translation"/>
          <w:rFonts w:asciiTheme="minorHAnsi" w:eastAsiaTheme="minorHAnsi" w:hAnsiTheme="minorHAnsi"/>
          <w:sz w:val="22"/>
          <w:szCs w:val="22"/>
        </w:rPr>
      </w:pPr>
    </w:p>
    <w:p w:rsidR="004E70FD" w:rsidRPr="004E70FD" w:rsidRDefault="002B2E70" w:rsidP="004E70FD">
      <w:pPr>
        <w:pStyle w:val="Textoindependiente"/>
        <w:ind w:left="0" w:right="125" w:hanging="1"/>
        <w:jc w:val="both"/>
        <w:rPr>
          <w:rStyle w:val="tlid-translation"/>
          <w:rFonts w:asciiTheme="minorHAnsi" w:eastAsiaTheme="minorHAnsi" w:hAnsiTheme="minorHAnsi"/>
          <w:sz w:val="22"/>
          <w:szCs w:val="22"/>
        </w:rPr>
      </w:pPr>
      <w:r w:rsidRPr="002B2E70">
        <w:rPr>
          <w:rStyle w:val="tlid-translation"/>
          <w:rFonts w:asciiTheme="minorHAnsi" w:eastAsiaTheme="minorHAnsi" w:hAnsiTheme="minorHAnsi"/>
          <w:sz w:val="22"/>
          <w:szCs w:val="22"/>
        </w:rPr>
        <w:t>Zenia Pardo</w:t>
      </w:r>
      <w:r>
        <w:rPr>
          <w:rStyle w:val="tlid-translation"/>
          <w:rFonts w:asciiTheme="minorHAnsi" w:eastAsiaTheme="minorHAnsi" w:hAnsiTheme="minorHAnsi"/>
          <w:sz w:val="22"/>
          <w:szCs w:val="22"/>
        </w:rPr>
        <w:t>-</w:t>
      </w:r>
      <w:r w:rsidRPr="002B2E70">
        <w:rPr>
          <w:rStyle w:val="tlid-translation"/>
          <w:rFonts w:asciiTheme="minorHAnsi" w:eastAsiaTheme="minorHAnsi" w:hAnsiTheme="minorHAnsi"/>
          <w:sz w:val="22"/>
          <w:szCs w:val="22"/>
        </w:rPr>
        <w:t>Ruiz</w:t>
      </w:r>
      <w:r>
        <w:rPr>
          <w:rStyle w:val="tlid-translation"/>
          <w:rFonts w:asciiTheme="minorHAnsi" w:eastAsiaTheme="minorHAnsi" w:hAnsiTheme="minorHAnsi"/>
          <w:sz w:val="22"/>
          <w:szCs w:val="22"/>
        </w:rPr>
        <w:t xml:space="preserve"> ha</w:t>
      </w:r>
      <w:r w:rsidR="005B25E6">
        <w:rPr>
          <w:rStyle w:val="tlid-translation"/>
          <w:rFonts w:asciiTheme="minorHAnsi" w:eastAsiaTheme="minorHAnsi" w:hAnsiTheme="minorHAnsi"/>
          <w:sz w:val="22"/>
          <w:szCs w:val="22"/>
        </w:rPr>
        <w:t>s</w:t>
      </w:r>
      <w:r>
        <w:rPr>
          <w:rStyle w:val="tlid-translation"/>
          <w:rFonts w:asciiTheme="minorHAnsi" w:eastAsiaTheme="minorHAnsi" w:hAnsiTheme="minorHAnsi"/>
          <w:sz w:val="22"/>
          <w:szCs w:val="22"/>
        </w:rPr>
        <w:t xml:space="preserve"> expertise in the development and application of alternative methods in the quality control of vaccines and other biopharmaceuticals as part of the Biochemistry team at the Center for Pharmaceuticals Research and Development</w:t>
      </w:r>
      <w:r w:rsidR="004E70FD">
        <w:rPr>
          <w:rStyle w:val="tlid-translation"/>
          <w:rFonts w:asciiTheme="minorHAnsi" w:eastAsiaTheme="minorHAnsi" w:hAnsiTheme="minorHAnsi"/>
          <w:sz w:val="22"/>
          <w:szCs w:val="22"/>
        </w:rPr>
        <w:t>, where she reach her PhD degree</w:t>
      </w:r>
      <w:r>
        <w:rPr>
          <w:rStyle w:val="tlid-translation"/>
          <w:rFonts w:asciiTheme="minorHAnsi" w:eastAsiaTheme="minorHAnsi" w:hAnsiTheme="minorHAnsi"/>
          <w:sz w:val="22"/>
          <w:szCs w:val="22"/>
        </w:rPr>
        <w:t>. Currently, she is</w:t>
      </w:r>
      <w:r w:rsidR="005B25E6">
        <w:rPr>
          <w:rStyle w:val="tlid-translation"/>
          <w:rFonts w:asciiTheme="minorHAnsi" w:eastAsiaTheme="minorHAnsi" w:hAnsiTheme="minorHAnsi"/>
          <w:sz w:val="22"/>
          <w:szCs w:val="22"/>
        </w:rPr>
        <w:t xml:space="preserve"> a</w:t>
      </w:r>
      <w:r>
        <w:rPr>
          <w:rStyle w:val="tlid-translation"/>
          <w:rFonts w:asciiTheme="minorHAnsi" w:eastAsiaTheme="minorHAnsi" w:hAnsiTheme="minorHAnsi"/>
          <w:sz w:val="22"/>
          <w:szCs w:val="22"/>
        </w:rPr>
        <w:t xml:space="preserve"> </w:t>
      </w:r>
      <w:r w:rsidR="005B25E6">
        <w:rPr>
          <w:rStyle w:val="tlid-translation"/>
          <w:rFonts w:asciiTheme="minorHAnsi" w:eastAsiaTheme="minorHAnsi" w:hAnsiTheme="minorHAnsi"/>
          <w:sz w:val="22"/>
          <w:szCs w:val="22"/>
        </w:rPr>
        <w:t xml:space="preserve">reviewer of </w:t>
      </w:r>
      <w:r w:rsidR="004E70FD">
        <w:rPr>
          <w:rStyle w:val="tlid-translation"/>
          <w:rFonts w:asciiTheme="minorHAnsi" w:eastAsiaTheme="minorHAnsi" w:hAnsiTheme="minorHAnsi"/>
          <w:sz w:val="22"/>
          <w:szCs w:val="22"/>
        </w:rPr>
        <w:t xml:space="preserve">biological </w:t>
      </w:r>
      <w:r w:rsidR="005B25E6">
        <w:rPr>
          <w:rStyle w:val="tlid-translation"/>
          <w:rFonts w:asciiTheme="minorHAnsi" w:eastAsiaTheme="minorHAnsi" w:hAnsiTheme="minorHAnsi"/>
          <w:sz w:val="22"/>
          <w:szCs w:val="22"/>
        </w:rPr>
        <w:t>products</w:t>
      </w:r>
      <w:r w:rsidR="004E70FD">
        <w:rPr>
          <w:rStyle w:val="tlid-translation"/>
          <w:rFonts w:asciiTheme="minorHAnsi" w:eastAsiaTheme="minorHAnsi" w:hAnsiTheme="minorHAnsi"/>
          <w:sz w:val="22"/>
          <w:szCs w:val="22"/>
        </w:rPr>
        <w:t>, specialized in vaccines, at the Cuban Regulatory Authority</w:t>
      </w:r>
      <w:r w:rsidR="005B25E6">
        <w:rPr>
          <w:rStyle w:val="tlid-translation"/>
          <w:rFonts w:asciiTheme="minorHAnsi" w:eastAsiaTheme="minorHAnsi" w:hAnsiTheme="minorHAnsi"/>
          <w:sz w:val="22"/>
          <w:szCs w:val="22"/>
        </w:rPr>
        <w:t xml:space="preserve"> (</w:t>
      </w:r>
      <w:r w:rsidR="004E70FD" w:rsidRPr="004E70FD">
        <w:rPr>
          <w:rStyle w:val="tlid-translation"/>
          <w:rFonts w:asciiTheme="minorHAnsi" w:eastAsiaTheme="minorHAnsi" w:hAnsiTheme="minorHAnsi"/>
          <w:sz w:val="22"/>
          <w:szCs w:val="22"/>
        </w:rPr>
        <w:t>Center for State Control of Drugs, Equipment and Medical Devices</w:t>
      </w:r>
      <w:r w:rsidR="005B25E6">
        <w:rPr>
          <w:rStyle w:val="tlid-translation"/>
          <w:rFonts w:asciiTheme="minorHAnsi" w:eastAsiaTheme="minorHAnsi" w:hAnsiTheme="minorHAnsi"/>
          <w:sz w:val="22"/>
          <w:szCs w:val="22"/>
        </w:rPr>
        <w:t>)</w:t>
      </w:r>
      <w:bookmarkStart w:id="0" w:name="_GoBack"/>
      <w:bookmarkEnd w:id="0"/>
      <w:r w:rsidR="004E70FD">
        <w:rPr>
          <w:rStyle w:val="tlid-translation"/>
          <w:rFonts w:asciiTheme="minorHAnsi" w:eastAsiaTheme="minorHAnsi" w:hAnsiTheme="minorHAnsi"/>
          <w:sz w:val="22"/>
          <w:szCs w:val="22"/>
        </w:rPr>
        <w:t>.</w:t>
      </w:r>
    </w:p>
    <w:p w:rsidR="002B2E70" w:rsidRDefault="002B2E70" w:rsidP="002B2E70">
      <w:pPr>
        <w:pStyle w:val="Textoindependiente"/>
        <w:ind w:left="0" w:right="125" w:hanging="1"/>
        <w:jc w:val="both"/>
        <w:rPr>
          <w:rStyle w:val="tlid-translation"/>
          <w:rFonts w:asciiTheme="minorHAnsi" w:eastAsiaTheme="minorHAnsi" w:hAnsiTheme="minorHAnsi"/>
          <w:sz w:val="22"/>
          <w:szCs w:val="22"/>
        </w:rPr>
      </w:pPr>
    </w:p>
    <w:p w:rsidR="004E70FD" w:rsidRDefault="004E70FD" w:rsidP="002B2E70">
      <w:pPr>
        <w:pStyle w:val="Textoindependiente"/>
        <w:ind w:left="0" w:right="125" w:hanging="1"/>
        <w:jc w:val="both"/>
        <w:rPr>
          <w:rStyle w:val="tlid-translation"/>
          <w:rFonts w:asciiTheme="minorHAnsi" w:eastAsiaTheme="minorHAnsi" w:hAnsiTheme="minorHAnsi"/>
          <w:sz w:val="22"/>
          <w:szCs w:val="22"/>
        </w:rPr>
      </w:pPr>
    </w:p>
    <w:p w:rsidR="004E70FD" w:rsidRDefault="004E70FD" w:rsidP="002B2E70">
      <w:pPr>
        <w:pStyle w:val="Textoindependiente"/>
        <w:ind w:left="0" w:right="125" w:hanging="1"/>
        <w:jc w:val="both"/>
        <w:rPr>
          <w:rStyle w:val="tlid-translation"/>
          <w:rFonts w:asciiTheme="minorHAnsi" w:eastAsiaTheme="minorHAnsi" w:hAnsiTheme="minorHAnsi"/>
          <w:sz w:val="22"/>
          <w:szCs w:val="22"/>
        </w:rPr>
      </w:pPr>
    </w:p>
    <w:p w:rsidR="002B2E70" w:rsidRDefault="002B2E70" w:rsidP="002B2E70">
      <w:pPr>
        <w:pStyle w:val="Textoindependiente"/>
        <w:ind w:left="567" w:right="125" w:hanging="568"/>
        <w:jc w:val="both"/>
        <w:rPr>
          <w:rStyle w:val="tlid-translation"/>
          <w:rFonts w:asciiTheme="minorHAnsi" w:eastAsiaTheme="minorHAnsi" w:hAnsiTheme="minorHAnsi"/>
          <w:sz w:val="22"/>
          <w:szCs w:val="22"/>
        </w:rPr>
      </w:pPr>
    </w:p>
    <w:p w:rsidR="00AB48B5" w:rsidRPr="002B2E70" w:rsidRDefault="00AB48B5" w:rsidP="00E11C1D">
      <w:pPr>
        <w:tabs>
          <w:tab w:val="left" w:pos="7410"/>
        </w:tabs>
        <w:jc w:val="both"/>
        <w:rPr>
          <w:rStyle w:val="tlid-translation"/>
          <w:lang w:val="en-US"/>
        </w:rPr>
      </w:pPr>
    </w:p>
    <w:sectPr w:rsidR="00AB48B5" w:rsidRPr="002B2E7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DE"/>
    <w:rsid w:val="000731F7"/>
    <w:rsid w:val="000D02D4"/>
    <w:rsid w:val="00105393"/>
    <w:rsid w:val="001E1DE6"/>
    <w:rsid w:val="002B2E70"/>
    <w:rsid w:val="002E23F0"/>
    <w:rsid w:val="00310688"/>
    <w:rsid w:val="003728E1"/>
    <w:rsid w:val="0041610C"/>
    <w:rsid w:val="00445F56"/>
    <w:rsid w:val="004C5284"/>
    <w:rsid w:val="004E70FD"/>
    <w:rsid w:val="00526ED1"/>
    <w:rsid w:val="0055227E"/>
    <w:rsid w:val="005B25E6"/>
    <w:rsid w:val="0069287A"/>
    <w:rsid w:val="00781CDD"/>
    <w:rsid w:val="0078799C"/>
    <w:rsid w:val="00875E23"/>
    <w:rsid w:val="009A25EE"/>
    <w:rsid w:val="009B28A1"/>
    <w:rsid w:val="009B626E"/>
    <w:rsid w:val="00A12A49"/>
    <w:rsid w:val="00A25525"/>
    <w:rsid w:val="00A258C1"/>
    <w:rsid w:val="00A97099"/>
    <w:rsid w:val="00AB48B5"/>
    <w:rsid w:val="00AD6B4B"/>
    <w:rsid w:val="00B706A8"/>
    <w:rsid w:val="00BE4384"/>
    <w:rsid w:val="00C40BC5"/>
    <w:rsid w:val="00D96769"/>
    <w:rsid w:val="00E11C1D"/>
    <w:rsid w:val="00E24E01"/>
    <w:rsid w:val="00E863DE"/>
    <w:rsid w:val="00EF2248"/>
    <w:rsid w:val="00F342F6"/>
    <w:rsid w:val="00F43ADE"/>
    <w:rsid w:val="00FE509F"/>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0625FC-8758-437C-8723-F8AF96888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lid-translation">
    <w:name w:val="tlid-translation"/>
    <w:basedOn w:val="Fuentedeprrafopredeter"/>
    <w:rsid w:val="009B28A1"/>
  </w:style>
  <w:style w:type="character" w:styleId="Hipervnculo">
    <w:name w:val="Hyperlink"/>
    <w:basedOn w:val="Fuentedeprrafopredeter"/>
    <w:uiPriority w:val="99"/>
    <w:unhideWhenUsed/>
    <w:rsid w:val="00AB48B5"/>
    <w:rPr>
      <w:color w:val="0563C1" w:themeColor="hyperlink"/>
      <w:u w:val="single"/>
    </w:rPr>
  </w:style>
  <w:style w:type="paragraph" w:styleId="Textoindependiente">
    <w:name w:val="Body Text"/>
    <w:basedOn w:val="Normal"/>
    <w:link w:val="TextoindependienteCar"/>
    <w:uiPriority w:val="1"/>
    <w:qFormat/>
    <w:rsid w:val="002B2E70"/>
    <w:pPr>
      <w:widowControl w:val="0"/>
      <w:spacing w:after="0" w:line="240" w:lineRule="auto"/>
      <w:ind w:left="821" w:hanging="361"/>
    </w:pPr>
    <w:rPr>
      <w:rFonts w:ascii="Arial" w:eastAsia="Arial" w:hAnsi="Arial"/>
      <w:sz w:val="23"/>
      <w:szCs w:val="23"/>
      <w:lang w:val="en-US"/>
    </w:rPr>
  </w:style>
  <w:style w:type="character" w:customStyle="1" w:styleId="TextoindependienteCar">
    <w:name w:val="Texto independiente Car"/>
    <w:basedOn w:val="Fuentedeprrafopredeter"/>
    <w:link w:val="Textoindependiente"/>
    <w:uiPriority w:val="1"/>
    <w:rsid w:val="002B2E70"/>
    <w:rPr>
      <w:rFonts w:ascii="Arial" w:eastAsia="Arial" w:hAnsi="Arial"/>
      <w:sz w:val="23"/>
      <w:szCs w:val="23"/>
      <w:lang w:val="en-US"/>
    </w:rPr>
  </w:style>
  <w:style w:type="character" w:customStyle="1" w:styleId="st">
    <w:name w:val="st"/>
    <w:basedOn w:val="Fuentedeprrafopredeter"/>
    <w:rsid w:val="004E70FD"/>
  </w:style>
  <w:style w:type="character" w:styleId="nfasis">
    <w:name w:val="Emphasis"/>
    <w:basedOn w:val="Fuentedeprrafopredeter"/>
    <w:uiPriority w:val="20"/>
    <w:qFormat/>
    <w:rsid w:val="004E7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enia@cecmed.cu" TargetMode="External"/><Relationship Id="rId4" Type="http://schemas.openxmlformats.org/officeDocument/2006/relationships/hyperlink" Target="mailto:zenia.pard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694</Words>
  <Characters>3818</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Zenia Pardo Ruiz</dc:creator>
  <cp:keywords/>
  <dc:description/>
  <cp:lastModifiedBy>Zenia Pardo Ruiz</cp:lastModifiedBy>
  <cp:revision>3</cp:revision>
  <dcterms:created xsi:type="dcterms:W3CDTF">2019-12-03T13:45:00Z</dcterms:created>
  <dcterms:modified xsi:type="dcterms:W3CDTF">2019-12-03T14:38:00Z</dcterms:modified>
</cp:coreProperties>
</file>