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737" w:rsidRP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C50737">
        <w:rPr>
          <w:rFonts w:ascii="Arial" w:hAnsi="Arial" w:cs="Arial"/>
          <w:b/>
          <w:bCs/>
          <w:color w:val="000000"/>
          <w:sz w:val="28"/>
          <w:szCs w:val="28"/>
        </w:rPr>
        <w:t xml:space="preserve">Randomized controlled trial of the effects of </w:t>
      </w:r>
      <w:proofErr w:type="spellStart"/>
      <w:r w:rsidRPr="00C50737">
        <w:rPr>
          <w:rFonts w:ascii="Arial" w:hAnsi="Arial" w:cs="Arial"/>
          <w:b/>
          <w:bCs/>
          <w:color w:val="000000"/>
          <w:sz w:val="28"/>
          <w:szCs w:val="28"/>
        </w:rPr>
        <w:t>metformin</w:t>
      </w:r>
      <w:proofErr w:type="spellEnd"/>
      <w:r w:rsidRPr="00C50737">
        <w:rPr>
          <w:rFonts w:ascii="Arial" w:hAnsi="Arial" w:cs="Arial"/>
          <w:b/>
          <w:bCs/>
          <w:color w:val="000000"/>
          <w:sz w:val="28"/>
          <w:szCs w:val="28"/>
        </w:rPr>
        <w:t xml:space="preserve"> versus combined oral contraceptives in adolescent PCOS women through a 24 month follow up period</w:t>
      </w:r>
    </w:p>
    <w:p w:rsidR="00C50737" w:rsidRP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C50737" w:rsidRP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C50737">
        <w:rPr>
          <w:rFonts w:ascii="Arial" w:hAnsi="Arial" w:cs="Arial"/>
          <w:b/>
          <w:bCs/>
          <w:color w:val="000000"/>
          <w:sz w:val="28"/>
          <w:szCs w:val="28"/>
        </w:rPr>
        <w:t>Aboubakr</w:t>
      </w:r>
      <w:proofErr w:type="spellEnd"/>
      <w:r w:rsidRPr="00C507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C50737">
        <w:rPr>
          <w:rFonts w:ascii="Arial" w:hAnsi="Arial" w:cs="Arial"/>
          <w:b/>
          <w:bCs/>
          <w:color w:val="000000"/>
          <w:sz w:val="28"/>
          <w:szCs w:val="28"/>
        </w:rPr>
        <w:t>Elnashar</w:t>
      </w:r>
      <w:proofErr w:type="spellEnd"/>
      <w:r w:rsidRPr="00C507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EB21E9" w:rsidRPr="00C50737" w:rsidRDefault="00C50737" w:rsidP="00C50737">
      <w:pPr>
        <w:bidi w:val="0"/>
        <w:jc w:val="both"/>
        <w:rPr>
          <w:rFonts w:ascii="Arial" w:hAnsi="Arial" w:cs="Arial"/>
          <w:sz w:val="24"/>
          <w:szCs w:val="24"/>
          <w:lang w:bidi="ar-EG"/>
        </w:rPr>
      </w:pPr>
      <w:r w:rsidRPr="00C50737">
        <w:rPr>
          <w:rFonts w:ascii="Arial" w:hAnsi="Arial" w:cs="Arial"/>
          <w:color w:val="000000"/>
          <w:sz w:val="24"/>
          <w:szCs w:val="24"/>
        </w:rPr>
        <w:t xml:space="preserve">Department of Obstetrics and Gynecology, </w:t>
      </w:r>
      <w:proofErr w:type="spellStart"/>
      <w:r w:rsidRPr="00C50737">
        <w:rPr>
          <w:rFonts w:ascii="Arial" w:hAnsi="Arial" w:cs="Arial"/>
          <w:color w:val="000000"/>
          <w:sz w:val="24"/>
          <w:szCs w:val="24"/>
        </w:rPr>
        <w:t>Benha</w:t>
      </w:r>
      <w:proofErr w:type="spellEnd"/>
      <w:r w:rsidRPr="00C50737">
        <w:rPr>
          <w:rFonts w:ascii="Arial" w:hAnsi="Arial" w:cs="Arial"/>
          <w:color w:val="000000"/>
          <w:sz w:val="24"/>
          <w:szCs w:val="24"/>
        </w:rPr>
        <w:t xml:space="preserve"> University Hospital, Egypt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Objective: </w:t>
      </w:r>
    </w:p>
    <w:p w:rsidR="00C50737" w:rsidRP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To compare </w:t>
      </w:r>
      <w:proofErr w:type="spellStart"/>
      <w:r w:rsidRPr="00C50737">
        <w:rPr>
          <w:rFonts w:ascii="Arial" w:hAnsi="Arial" w:cs="Arial"/>
          <w:sz w:val="24"/>
          <w:szCs w:val="24"/>
        </w:rPr>
        <w:t>metformin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 and combined oral contraceptive pill (COC) effects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 w:rsidRPr="00C50737">
        <w:rPr>
          <w:rFonts w:ascii="Arial" w:hAnsi="Arial" w:cs="Arial"/>
          <w:sz w:val="24"/>
          <w:szCs w:val="24"/>
        </w:rPr>
        <w:t>over</w:t>
      </w:r>
      <w:proofErr w:type="gramEnd"/>
      <w:r w:rsidRPr="00C50737">
        <w:rPr>
          <w:rFonts w:ascii="Arial" w:hAnsi="Arial" w:cs="Arial"/>
          <w:sz w:val="24"/>
          <w:szCs w:val="24"/>
        </w:rPr>
        <w:t xml:space="preserve"> 24 months in adolescent PCOS.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Design: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 w:rsidRPr="00C50737">
        <w:rPr>
          <w:rFonts w:ascii="Arial" w:hAnsi="Arial" w:cs="Arial"/>
          <w:sz w:val="24"/>
          <w:szCs w:val="24"/>
        </w:rPr>
        <w:t>Randomized controlled study.</w:t>
      </w:r>
      <w:proofErr w:type="gramEnd"/>
      <w:r w:rsidRPr="00C50737">
        <w:rPr>
          <w:rFonts w:ascii="Arial" w:hAnsi="Arial" w:cs="Arial"/>
          <w:sz w:val="24"/>
          <w:szCs w:val="24"/>
        </w:rPr>
        <w:t xml:space="preserve">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Patients: </w:t>
      </w:r>
    </w:p>
    <w:p w:rsidR="00C50737" w:rsidRP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117 adolescent girls with </w:t>
      </w:r>
      <w:proofErr w:type="gramStart"/>
      <w:r w:rsidRPr="00C50737">
        <w:rPr>
          <w:rFonts w:ascii="Arial" w:hAnsi="Arial" w:cs="Arial"/>
          <w:sz w:val="24"/>
          <w:szCs w:val="24"/>
        </w:rPr>
        <w:t>PCOS,</w:t>
      </w:r>
      <w:proofErr w:type="gramEnd"/>
      <w:r w:rsidRPr="00C50737">
        <w:rPr>
          <w:rFonts w:ascii="Arial" w:hAnsi="Arial" w:cs="Arial"/>
          <w:sz w:val="24"/>
          <w:szCs w:val="24"/>
        </w:rPr>
        <w:t xml:space="preserve"> were randomized to: group A (n= 40): </w:t>
      </w:r>
      <w:proofErr w:type="spellStart"/>
      <w:r w:rsidRPr="00C50737">
        <w:rPr>
          <w:rFonts w:ascii="Arial" w:hAnsi="Arial" w:cs="Arial"/>
          <w:sz w:val="24"/>
          <w:szCs w:val="24"/>
        </w:rPr>
        <w:t>metformin</w:t>
      </w:r>
      <w:proofErr w:type="spellEnd"/>
      <w:r w:rsidRPr="00C50737">
        <w:rPr>
          <w:rFonts w:ascii="Arial" w:hAnsi="Arial" w:cs="Arial"/>
          <w:sz w:val="24"/>
          <w:szCs w:val="24"/>
        </w:rPr>
        <w:t>,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 w:rsidRPr="00C50737">
        <w:rPr>
          <w:rFonts w:ascii="Arial" w:hAnsi="Arial" w:cs="Arial"/>
          <w:sz w:val="24"/>
          <w:szCs w:val="24"/>
        </w:rPr>
        <w:t>group</w:t>
      </w:r>
      <w:proofErr w:type="gramEnd"/>
      <w:r w:rsidRPr="00C50737">
        <w:rPr>
          <w:rFonts w:ascii="Arial" w:hAnsi="Arial" w:cs="Arial"/>
          <w:sz w:val="24"/>
          <w:szCs w:val="24"/>
        </w:rPr>
        <w:t xml:space="preserve"> B (n= 40): COC, and group C (n= 39): control. Interventions: Group A: received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50737">
        <w:rPr>
          <w:rFonts w:ascii="Arial" w:hAnsi="Arial" w:cs="Arial"/>
          <w:sz w:val="24"/>
          <w:szCs w:val="24"/>
        </w:rPr>
        <w:t>metformin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, group B: received combined oral contraceptives.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Main outcome measures: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gramStart"/>
      <w:r w:rsidRPr="00C50737">
        <w:rPr>
          <w:rFonts w:ascii="Arial" w:hAnsi="Arial" w:cs="Arial"/>
          <w:sz w:val="24"/>
          <w:szCs w:val="24"/>
        </w:rPr>
        <w:t>Improvement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in cycle rhythm and </w:t>
      </w:r>
      <w:proofErr w:type="spellStart"/>
      <w:r w:rsidRPr="00C50737">
        <w:rPr>
          <w:rFonts w:ascii="Arial" w:hAnsi="Arial" w:cs="Arial"/>
          <w:sz w:val="24"/>
          <w:szCs w:val="24"/>
        </w:rPr>
        <w:t>hirsutism</w:t>
      </w:r>
      <w:proofErr w:type="spellEnd"/>
      <w:r w:rsidRPr="00C50737">
        <w:rPr>
          <w:rFonts w:ascii="Arial" w:hAnsi="Arial" w:cs="Arial"/>
          <w:sz w:val="24"/>
          <w:szCs w:val="24"/>
        </w:rPr>
        <w:t>.</w:t>
      </w:r>
      <w:proofErr w:type="gramEnd"/>
      <w:r w:rsidRPr="00C50737">
        <w:rPr>
          <w:rFonts w:ascii="Arial" w:hAnsi="Arial" w:cs="Arial"/>
          <w:sz w:val="24"/>
          <w:szCs w:val="24"/>
        </w:rPr>
        <w:t xml:space="preserve">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Results: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>In group B a significant decline in serum testosterone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reached the lowest value by the end of the second year (0.7 ± 0.2 versus 1.3± 0.5 </w:t>
      </w:r>
      <w:proofErr w:type="spellStart"/>
      <w:r w:rsidRPr="00C50737">
        <w:rPr>
          <w:rFonts w:ascii="Arial" w:hAnsi="Arial" w:cs="Arial"/>
          <w:sz w:val="24"/>
          <w:szCs w:val="24"/>
        </w:rPr>
        <w:t>lg</w:t>
      </w:r>
      <w:proofErr w:type="spellEnd"/>
      <w:r w:rsidRPr="00C50737">
        <w:rPr>
          <w:rFonts w:ascii="Arial" w:hAnsi="Arial" w:cs="Arial"/>
          <w:sz w:val="24"/>
          <w:szCs w:val="24"/>
        </w:rPr>
        <w:t>/ml). By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>the end of the study, group A showed a significant decline in fasting (18.6 ± 3.0–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10.0 ± 3.0 </w:t>
      </w:r>
      <w:proofErr w:type="spellStart"/>
      <w:r w:rsidRPr="00C50737">
        <w:rPr>
          <w:rFonts w:ascii="Arial" w:hAnsi="Arial" w:cs="Arial"/>
          <w:sz w:val="24"/>
          <w:szCs w:val="24"/>
        </w:rPr>
        <w:t>lIU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/ml) and after-load insulin levels (126± 43–64 ±15 </w:t>
      </w:r>
      <w:proofErr w:type="spellStart"/>
      <w:r w:rsidRPr="00C50737">
        <w:rPr>
          <w:rFonts w:ascii="Arial" w:hAnsi="Arial" w:cs="Arial"/>
          <w:sz w:val="24"/>
          <w:szCs w:val="24"/>
        </w:rPr>
        <w:t>lIU</w:t>
      </w:r>
      <w:proofErr w:type="spellEnd"/>
      <w:r w:rsidRPr="00C50737">
        <w:rPr>
          <w:rFonts w:ascii="Arial" w:hAnsi="Arial" w:cs="Arial"/>
          <w:sz w:val="24"/>
          <w:szCs w:val="24"/>
        </w:rPr>
        <w:t>/ml) with a significant rise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>in glucose/insulin ratio (GIR) from 4.1 ±0.3 to 4.6± 0.5. Group B showed a significant rise in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fasting and after-load insulin (from 15.0 ±3.0 </w:t>
      </w:r>
      <w:proofErr w:type="spellStart"/>
      <w:r w:rsidRPr="00C50737">
        <w:rPr>
          <w:rFonts w:ascii="Arial" w:hAnsi="Arial" w:cs="Arial"/>
          <w:sz w:val="24"/>
          <w:szCs w:val="24"/>
        </w:rPr>
        <w:t>lIU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/ml and 103.0 ±91.0 </w:t>
      </w:r>
      <w:proofErr w:type="spellStart"/>
      <w:r w:rsidRPr="00C50737">
        <w:rPr>
          <w:rFonts w:ascii="Arial" w:hAnsi="Arial" w:cs="Arial"/>
          <w:sz w:val="24"/>
          <w:szCs w:val="24"/>
        </w:rPr>
        <w:t>lIU</w:t>
      </w:r>
      <w:proofErr w:type="spellEnd"/>
      <w:r w:rsidRPr="00C50737">
        <w:rPr>
          <w:rFonts w:ascii="Arial" w:hAnsi="Arial" w:cs="Arial"/>
          <w:sz w:val="24"/>
          <w:szCs w:val="24"/>
        </w:rPr>
        <w:t>/ml to 19.0± 4.0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and 187.0 ±22.0 </w:t>
      </w:r>
      <w:proofErr w:type="spellStart"/>
      <w:r w:rsidRPr="00C50737">
        <w:rPr>
          <w:rFonts w:ascii="Arial" w:hAnsi="Arial" w:cs="Arial"/>
          <w:sz w:val="24"/>
          <w:szCs w:val="24"/>
        </w:rPr>
        <w:t>lIU</w:t>
      </w:r>
      <w:proofErr w:type="spellEnd"/>
      <w:r w:rsidRPr="00C50737">
        <w:rPr>
          <w:rFonts w:ascii="Arial" w:hAnsi="Arial" w:cs="Arial"/>
          <w:sz w:val="24"/>
          <w:szCs w:val="24"/>
        </w:rPr>
        <w:t>/ml, respectively) and GIR dropped significantly from 4.4± 0.2 to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3.1± 0.3. </w:t>
      </w:r>
      <w:proofErr w:type="spellStart"/>
      <w:r w:rsidRPr="00C50737">
        <w:rPr>
          <w:rFonts w:ascii="Arial" w:hAnsi="Arial" w:cs="Arial"/>
          <w:sz w:val="24"/>
          <w:szCs w:val="24"/>
        </w:rPr>
        <w:t>Metformin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 was associated with a significant loss of weight from 87.0 ± 6.0 to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>72.0 ± 0.5 kg while COC was associated with a non-significant gain in weight (from 84.0± 6.0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to 91.0 ± 9.0 kg). </w:t>
      </w:r>
    </w:p>
    <w:p w:rsid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0737">
        <w:rPr>
          <w:rFonts w:ascii="Arial" w:hAnsi="Arial" w:cs="Arial"/>
          <w:sz w:val="24"/>
          <w:szCs w:val="24"/>
        </w:rPr>
        <w:t xml:space="preserve">Conclusions: </w:t>
      </w:r>
    </w:p>
    <w:p w:rsidR="00C50737" w:rsidRPr="00C50737" w:rsidRDefault="00C50737" w:rsidP="00C50737">
      <w:pPr>
        <w:autoSpaceDE w:val="0"/>
        <w:autoSpaceDN w:val="0"/>
        <w:bidi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proofErr w:type="spellStart"/>
      <w:r w:rsidRPr="00C50737">
        <w:rPr>
          <w:rFonts w:ascii="Arial" w:hAnsi="Arial" w:cs="Arial"/>
          <w:sz w:val="24"/>
          <w:szCs w:val="24"/>
        </w:rPr>
        <w:t>Metformin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 and COC have comparable therapeutic effectiveness</w:t>
      </w:r>
      <w:r>
        <w:rPr>
          <w:rFonts w:ascii="Arial" w:hAnsi="Arial" w:cs="Arial"/>
          <w:sz w:val="24"/>
          <w:szCs w:val="24"/>
        </w:rPr>
        <w:t xml:space="preserve"> </w:t>
      </w:r>
      <w:r w:rsidRPr="00C50737">
        <w:rPr>
          <w:rFonts w:ascii="Arial" w:hAnsi="Arial" w:cs="Arial"/>
          <w:sz w:val="24"/>
          <w:szCs w:val="24"/>
        </w:rPr>
        <w:t xml:space="preserve">on cycle regularity and </w:t>
      </w:r>
      <w:proofErr w:type="spellStart"/>
      <w:r w:rsidRPr="00C50737">
        <w:rPr>
          <w:rFonts w:ascii="Arial" w:hAnsi="Arial" w:cs="Arial"/>
          <w:sz w:val="24"/>
          <w:szCs w:val="24"/>
        </w:rPr>
        <w:t>hirsutism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50737">
        <w:rPr>
          <w:rFonts w:ascii="Arial" w:hAnsi="Arial" w:cs="Arial"/>
          <w:sz w:val="24"/>
          <w:szCs w:val="24"/>
        </w:rPr>
        <w:t>Metformin</w:t>
      </w:r>
      <w:proofErr w:type="spellEnd"/>
      <w:r w:rsidRPr="00C50737">
        <w:rPr>
          <w:rFonts w:ascii="Arial" w:hAnsi="Arial" w:cs="Arial"/>
          <w:sz w:val="24"/>
          <w:szCs w:val="24"/>
        </w:rPr>
        <w:t xml:space="preserve"> was associated with a significant improvement in metabolic syndrome, while COC was associated with a deterioration of metabolic syndrome.</w:t>
      </w:r>
    </w:p>
    <w:sectPr w:rsidR="00C50737" w:rsidRPr="00C50737" w:rsidSect="00C50737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50737"/>
    <w:rsid w:val="00925B7B"/>
    <w:rsid w:val="00C50737"/>
    <w:rsid w:val="00EB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1E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mylap</dc:creator>
  <cp:lastModifiedBy>mylap</cp:lastModifiedBy>
  <cp:revision>2</cp:revision>
  <dcterms:created xsi:type="dcterms:W3CDTF">2017-12-06T11:51:00Z</dcterms:created>
  <dcterms:modified xsi:type="dcterms:W3CDTF">2017-12-06T11:58:00Z</dcterms:modified>
</cp:coreProperties>
</file>