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F2ED6" w:rsidP="00494130">
      <w:pPr>
        <w:pStyle w:val="Heading1"/>
        <w:spacing w:before="170"/>
        <w:ind w:left="0"/>
      </w:pPr>
      <w:r>
        <w:rPr>
          <w:color w:val="337AB7"/>
        </w:rPr>
        <w:t xml:space="preserve">Halloysite clay nanotubes as biocompatible multi-functional tablet compression excipient </w:t>
      </w:r>
      <w:bookmarkStart w:id="0" w:name="_GoBack"/>
      <w:bookmarkEnd w:id="0"/>
    </w:p>
    <w:p w:rsidR="00CA1891" w:rsidRPr="00CA1891" w:rsidRDefault="00CA1891" w:rsidP="00C9148E">
      <w:pPr>
        <w:rPr>
          <w:rFonts w:ascii="Arial" w:hAnsi="Arial" w:cs="Arial"/>
          <w:sz w:val="6"/>
          <w:szCs w:val="6"/>
        </w:rPr>
      </w:pPr>
    </w:p>
    <w:p w:rsidR="005973B9" w:rsidRPr="00C9148E" w:rsidRDefault="002F2ED6" w:rsidP="00C9148E">
      <w:pPr>
        <w:rPr>
          <w:rFonts w:ascii="Arial" w:hAnsi="Arial" w:cs="Arial"/>
          <w:sz w:val="18"/>
        </w:rPr>
      </w:pPr>
      <w:r w:rsidRPr="00C9148E">
        <w:rPr>
          <w:rFonts w:ascii="Arial" w:hAnsi="Arial" w:cs="Arial"/>
          <w:sz w:val="18"/>
        </w:rPr>
        <w:t>Yuri M Lvov</w:t>
      </w:r>
      <w:r w:rsidR="005973B9" w:rsidRPr="00C9148E">
        <w:rPr>
          <w:rFonts w:ascii="Arial" w:hAnsi="Arial" w:cs="Arial"/>
          <w:sz w:val="18"/>
        </w:rPr>
        <w:t>,</w:t>
      </w:r>
      <w:r w:rsidR="008511B0">
        <w:rPr>
          <w:rFonts w:ascii="Arial" w:hAnsi="Arial" w:cs="Arial"/>
          <w:sz w:val="18"/>
        </w:rPr>
        <w:t xml:space="preserve"> Raghuvara Yendluri,</w:t>
      </w:r>
      <w:r w:rsidR="005973B9" w:rsidRPr="00C9148E">
        <w:rPr>
          <w:rFonts w:ascii="Arial" w:hAnsi="Arial" w:cs="Arial"/>
          <w:sz w:val="18"/>
        </w:rPr>
        <w:t xml:space="preserve"> </w:t>
      </w:r>
      <w:r w:rsidRPr="00C9148E">
        <w:rPr>
          <w:rFonts w:ascii="Arial" w:hAnsi="Arial" w:cs="Arial"/>
          <w:sz w:val="18"/>
        </w:rPr>
        <w:t>Institute for Micromanufacturing</w:t>
      </w:r>
      <w:r w:rsidR="005973B9" w:rsidRPr="00C9148E">
        <w:rPr>
          <w:rFonts w:ascii="Arial" w:hAnsi="Arial" w:cs="Arial"/>
          <w:sz w:val="18"/>
        </w:rPr>
        <w:t xml:space="preserve">, </w:t>
      </w:r>
      <w:r w:rsidRPr="00C9148E">
        <w:rPr>
          <w:rFonts w:ascii="Arial" w:hAnsi="Arial" w:cs="Arial"/>
          <w:sz w:val="18"/>
        </w:rPr>
        <w:t>Louisiana</w:t>
      </w:r>
      <w:r w:rsidR="00C9148E" w:rsidRPr="00C9148E">
        <w:rPr>
          <w:rFonts w:ascii="Arial" w:hAnsi="Arial" w:cs="Arial"/>
          <w:sz w:val="18"/>
        </w:rPr>
        <w:t xml:space="preserve"> </w:t>
      </w:r>
      <w:r w:rsidRPr="00C9148E">
        <w:rPr>
          <w:rFonts w:ascii="Arial" w:hAnsi="Arial" w:cs="Arial"/>
          <w:sz w:val="18"/>
        </w:rPr>
        <w:t xml:space="preserve">Tech University, Ruston, </w:t>
      </w:r>
      <w:r w:rsidR="005973B9" w:rsidRPr="00C9148E">
        <w:rPr>
          <w:rFonts w:ascii="Arial" w:hAnsi="Arial" w:cs="Arial"/>
          <w:sz w:val="18"/>
        </w:rPr>
        <w:t>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8511B0" w:rsidRDefault="00A9710C">
      <w:pPr>
        <w:pStyle w:val="BodyText"/>
        <w:spacing w:before="90" w:line="280" w:lineRule="auto"/>
        <w:ind w:left="100"/>
        <w:jc w:val="both"/>
        <w:rPr>
          <w:rFonts w:cs="Times New Roman"/>
        </w:rPr>
      </w:pPr>
      <w:r w:rsidRPr="008511B0">
        <w:rPr>
          <w:i/>
        </w:rPr>
        <w:t>Statement of the Problem:</w:t>
      </w:r>
      <w:r>
        <w:t xml:space="preserve"> </w:t>
      </w:r>
      <w:r w:rsidR="008511B0">
        <w:t>T</w:t>
      </w:r>
      <w:r w:rsidR="002F2ED6">
        <w:t>here are wide variety of nano scale materials that are being developed for drug delivery. Commercial use of some of these materials is limited by accelerated clearance and toxic side effects. We introduce natural aluminosilicate h</w:t>
      </w:r>
      <w:r w:rsidR="002F2ED6" w:rsidRPr="00402625">
        <w:t xml:space="preserve">alloysite clay nanotubes </w:t>
      </w:r>
      <w:r w:rsidR="002F2ED6">
        <w:t>as a potential pharmaceutical tablet compression</w:t>
      </w:r>
      <w:r w:rsidR="002329B5">
        <w:t xml:space="preserve"> filler</w:t>
      </w:r>
      <w:r w:rsidR="002F2ED6">
        <w:t xml:space="preserve">. This abundantly available, cheap and biocompatible </w:t>
      </w:r>
      <w:r w:rsidR="008511B0">
        <w:t xml:space="preserve">tubule </w:t>
      </w:r>
      <w:r w:rsidR="002F2ED6">
        <w:t xml:space="preserve">material has </w:t>
      </w:r>
      <w:r w:rsidR="002F2ED6" w:rsidRPr="00402625">
        <w:t xml:space="preserve">outer diameter 50 ± </w:t>
      </w:r>
      <w:r w:rsidR="008511B0">
        <w:t>10</w:t>
      </w:r>
      <w:r w:rsidR="002F2ED6" w:rsidRPr="00402625">
        <w:t xml:space="preserve"> nm; inner lumen 10 - 15 nm; length </w:t>
      </w:r>
      <w:r w:rsidR="008511B0">
        <w:t>of 700 ± 3</w:t>
      </w:r>
      <w:r w:rsidR="002F2ED6">
        <w:t>00 nm</w:t>
      </w:r>
      <w:r w:rsidR="002F2ED6" w:rsidRPr="00402625">
        <w:t xml:space="preserve">. </w:t>
      </w:r>
      <w:r w:rsidR="002F2ED6">
        <w:t>A number of researchers developed HNTs</w:t>
      </w:r>
      <w:r w:rsidR="008511B0">
        <w:t xml:space="preserve"> as a nano</w:t>
      </w:r>
      <w:r w:rsidR="002F2ED6" w:rsidRPr="00402625">
        <w:t>vehicle for</w:t>
      </w:r>
      <w:r w:rsidR="002F2ED6">
        <w:t xml:space="preserve"> the</w:t>
      </w:r>
      <w:r w:rsidR="002F2ED6" w:rsidRPr="00402625">
        <w:t xml:space="preserve"> loading </w:t>
      </w:r>
      <w:r w:rsidR="002F2ED6">
        <w:t xml:space="preserve">of drugs </w:t>
      </w:r>
      <w:r w:rsidR="002F2ED6" w:rsidRPr="00402625">
        <w:rPr>
          <w:rFonts w:cs="Times New Roman"/>
        </w:rPr>
        <w:t>with 5-10</w:t>
      </w:r>
      <w:r w:rsidR="002F2ED6">
        <w:rPr>
          <w:rFonts w:cs="Times New Roman"/>
        </w:rPr>
        <w:t xml:space="preserve"> </w:t>
      </w:r>
      <w:r w:rsidR="008511B0">
        <w:rPr>
          <w:rFonts w:cs="Times New Roman"/>
        </w:rPr>
        <w:t xml:space="preserve">wt. </w:t>
      </w:r>
      <w:r w:rsidR="002F2ED6" w:rsidRPr="00402625">
        <w:rPr>
          <w:rFonts w:cs="Times New Roman"/>
        </w:rPr>
        <w:t>% loading efficiency</w:t>
      </w:r>
      <w:r w:rsidR="002F2ED6">
        <w:rPr>
          <w:rFonts w:cs="Times New Roman"/>
        </w:rPr>
        <w:t xml:space="preserve"> and release for 5-</w:t>
      </w:r>
      <w:r w:rsidR="008511B0">
        <w:rPr>
          <w:rFonts w:cs="Times New Roman"/>
        </w:rPr>
        <w:t>20</w:t>
      </w:r>
      <w:r w:rsidR="002F2ED6">
        <w:rPr>
          <w:rFonts w:cs="Times New Roman"/>
        </w:rPr>
        <w:t xml:space="preserve"> hours at a sustained rate</w:t>
      </w:r>
      <w:r w:rsidR="002F2ED6" w:rsidRPr="00402625">
        <w:rPr>
          <w:rFonts w:cs="Times New Roman"/>
        </w:rPr>
        <w:t xml:space="preserve">. </w:t>
      </w:r>
      <w:r w:rsidR="002F2ED6">
        <w:rPr>
          <w:rFonts w:cs="Times New Roman"/>
        </w:rPr>
        <w:t xml:space="preserve">Halloysite being a non-biodegradable material cannot be used for intraperitoneal delivery and </w:t>
      </w:r>
      <w:r w:rsidR="002F2ED6" w:rsidRPr="00402625">
        <w:rPr>
          <w:rFonts w:cs="Times New Roman"/>
        </w:rPr>
        <w:t>oral (tablets, capsules) and t</w:t>
      </w:r>
      <w:r w:rsidR="002F2ED6">
        <w:rPr>
          <w:rFonts w:cs="Times New Roman"/>
        </w:rPr>
        <w:t>ransdermal</w:t>
      </w:r>
      <w:r w:rsidR="002F2ED6" w:rsidRPr="00402625">
        <w:rPr>
          <w:rFonts w:cs="Times New Roman"/>
        </w:rPr>
        <w:t xml:space="preserve"> (cosmetics) </w:t>
      </w:r>
      <w:r w:rsidR="002F2ED6">
        <w:rPr>
          <w:rFonts w:cs="Times New Roman"/>
        </w:rPr>
        <w:t>delivery is a plausible approach</w:t>
      </w:r>
      <w:r w:rsidR="00543288">
        <w:rPr>
          <w:rFonts w:cs="Times New Roman"/>
        </w:rPr>
        <w:t xml:space="preserve"> [1-5]</w:t>
      </w:r>
      <w:r w:rsidR="002F2ED6" w:rsidRPr="00402625">
        <w:rPr>
          <w:rFonts w:cs="Times New Roman"/>
        </w:rPr>
        <w:t>.</w:t>
      </w:r>
      <w:r w:rsidR="002F2ED6">
        <w:rPr>
          <w:rFonts w:cs="Times New Roman"/>
        </w:rPr>
        <w:t xml:space="preserve"> </w:t>
      </w:r>
    </w:p>
    <w:p w:rsidR="008511B0" w:rsidRDefault="00A9710C">
      <w:pPr>
        <w:pStyle w:val="BodyText"/>
        <w:spacing w:before="90" w:line="280" w:lineRule="auto"/>
        <w:ind w:left="100"/>
        <w:jc w:val="both"/>
      </w:pPr>
      <w:r w:rsidRPr="008511B0">
        <w:rPr>
          <w:i/>
        </w:rPr>
        <w:t>Methodolog</w:t>
      </w:r>
      <w:r w:rsidR="008756E6" w:rsidRPr="008511B0">
        <w:rPr>
          <w:i/>
        </w:rPr>
        <w:t>y &amp; Theoretical Orientation:</w:t>
      </w:r>
      <w:r w:rsidR="008756E6">
        <w:t xml:space="preserve"> </w:t>
      </w:r>
      <w:r w:rsidR="008511B0">
        <w:t>W</w:t>
      </w:r>
      <w:r w:rsidR="002F2ED6" w:rsidRPr="002F2ED6">
        <w:t>e demonstrated halloysite</w:t>
      </w:r>
      <w:r w:rsidR="00DA5862">
        <w:t xml:space="preserve"> nanoclay</w:t>
      </w:r>
      <w:r w:rsidR="002F2ED6" w:rsidRPr="002F2ED6">
        <w:t xml:space="preserve"> as a dual</w:t>
      </w:r>
      <w:r w:rsidR="008511B0">
        <w:t xml:space="preserve"> purpose tablet filler i.e. </w:t>
      </w:r>
      <w:r w:rsidR="002F2ED6" w:rsidRPr="002F2ED6">
        <w:t>vehicle for drug and compression excipient. Flow and compressibility properti</w:t>
      </w:r>
      <w:r w:rsidR="00176E36">
        <w:t xml:space="preserve">es such as </w:t>
      </w:r>
      <w:proofErr w:type="spellStart"/>
      <w:r w:rsidR="00176E36">
        <w:t>H</w:t>
      </w:r>
      <w:r w:rsidR="002F2ED6" w:rsidRPr="002F2ED6">
        <w:t>ausner</w:t>
      </w:r>
      <w:proofErr w:type="spellEnd"/>
      <w:r w:rsidR="002F2ED6" w:rsidRPr="002F2ED6">
        <w:t xml:space="preserve"> ratio, </w:t>
      </w:r>
      <w:proofErr w:type="spellStart"/>
      <w:r w:rsidR="002F2ED6" w:rsidRPr="002F2ED6">
        <w:t>Carr’s</w:t>
      </w:r>
      <w:proofErr w:type="spellEnd"/>
      <w:r w:rsidR="002F2ED6" w:rsidRPr="002F2ED6">
        <w:t xml:space="preserve"> index and brittle fracture index </w:t>
      </w:r>
      <w:r w:rsidR="002F2ED6">
        <w:t>were determined</w:t>
      </w:r>
      <w:r w:rsidR="008511B0">
        <w:t xml:space="preserve"> as similar to the best industrial formulations</w:t>
      </w:r>
      <w:r w:rsidR="002F2ED6" w:rsidRPr="002F2ED6">
        <w:t>. Nifedipine</w:t>
      </w:r>
      <w:r w:rsidR="008511B0">
        <w:t xml:space="preserve"> and </w:t>
      </w:r>
      <w:r w:rsidR="00CA1891">
        <w:t xml:space="preserve">paclitaxel </w:t>
      </w:r>
      <w:r w:rsidR="00CA1891" w:rsidRPr="002F2ED6">
        <w:t>were</w:t>
      </w:r>
      <w:r w:rsidR="002F2ED6" w:rsidRPr="002F2ED6">
        <w:t xml:space="preserve"> loaded at 6</w:t>
      </w:r>
      <w:r w:rsidR="008511B0">
        <w:t>-8</w:t>
      </w:r>
      <w:r w:rsidR="002F2ED6" w:rsidRPr="002F2ED6">
        <w:t xml:space="preserve"> wt. % capacity in unmodified halloysite lumen and incorporated in a 100 mg tablet formulation. Release studies </w:t>
      </w:r>
      <w:r w:rsidR="002329B5">
        <w:t xml:space="preserve">were </w:t>
      </w:r>
      <w:r w:rsidR="002F2ED6" w:rsidRPr="002F2ED6">
        <w:t>conducted in simulated gastric and intestinal fluids</w:t>
      </w:r>
      <w:r w:rsidR="00334468">
        <w:t xml:space="preserve"> which allowed to employ pH 1-7 switch </w:t>
      </w:r>
      <w:r w:rsidR="00CA1891">
        <w:t>due to</w:t>
      </w:r>
      <w:r w:rsidR="00DA5862">
        <w:t xml:space="preserve"> the tube</w:t>
      </w:r>
      <w:r w:rsidR="00334468">
        <w:t>s</w:t>
      </w:r>
      <w:r w:rsidR="00DA5862">
        <w:t>’</w:t>
      </w:r>
      <w:r w:rsidR="00CA1891">
        <w:t xml:space="preserve"> PMMM</w:t>
      </w:r>
      <w:r w:rsidR="00334468">
        <w:t xml:space="preserve"> coating</w:t>
      </w:r>
      <w:r w:rsidR="00543288">
        <w:t xml:space="preserve"> [3]</w:t>
      </w:r>
      <w:r w:rsidR="00CA1891">
        <w:t>.</w:t>
      </w:r>
    </w:p>
    <w:p w:rsidR="008511B0" w:rsidRDefault="00A9710C">
      <w:pPr>
        <w:pStyle w:val="BodyText"/>
        <w:spacing w:before="90" w:line="280" w:lineRule="auto"/>
        <w:ind w:left="100"/>
        <w:jc w:val="both"/>
      </w:pPr>
      <w:r w:rsidRPr="008511B0">
        <w:rPr>
          <w:i/>
        </w:rPr>
        <w:t>Findings:</w:t>
      </w:r>
      <w:r>
        <w:t xml:space="preserve"> </w:t>
      </w:r>
      <w:proofErr w:type="spellStart"/>
      <w:r w:rsidR="00176E36">
        <w:t>H</w:t>
      </w:r>
      <w:r w:rsidR="00176E36" w:rsidRPr="002F2ED6">
        <w:t>ausner</w:t>
      </w:r>
      <w:proofErr w:type="spellEnd"/>
      <w:r w:rsidR="00176E36" w:rsidRPr="002F2ED6">
        <w:t xml:space="preserve"> ratio, </w:t>
      </w:r>
      <w:proofErr w:type="spellStart"/>
      <w:r w:rsidR="00176E36" w:rsidRPr="002F2ED6">
        <w:t>Carr’s</w:t>
      </w:r>
      <w:proofErr w:type="spellEnd"/>
      <w:r w:rsidR="00176E36" w:rsidRPr="002F2ED6">
        <w:t xml:space="preserve"> index and </w:t>
      </w:r>
      <w:r w:rsidR="00CA1891">
        <w:t>BFI</w:t>
      </w:r>
      <w:r w:rsidR="00176E36">
        <w:t xml:space="preserve"> were </w:t>
      </w:r>
      <w:r w:rsidR="00CA1891">
        <w:t>1.1, 13 and 0.08, correspondingly</w:t>
      </w:r>
      <w:r w:rsidR="00334468">
        <w:t>,</w:t>
      </w:r>
      <w:r w:rsidR="002F2ED6">
        <w:t xml:space="preserve"> and </w:t>
      </w:r>
      <w:r w:rsidR="002329B5">
        <w:t xml:space="preserve">release studies demonstrated </w:t>
      </w:r>
      <w:r w:rsidR="00334468">
        <w:t xml:space="preserve">pH-switchable and </w:t>
      </w:r>
      <w:r w:rsidR="002329B5">
        <w:t>sustained drug</w:t>
      </w:r>
      <w:r w:rsidR="008511B0">
        <w:t>s’</w:t>
      </w:r>
      <w:r w:rsidR="002329B5">
        <w:t xml:space="preserve"> release for more than 20 hours, a tenfold increase compared to commercial formulations. </w:t>
      </w:r>
    </w:p>
    <w:p w:rsidR="00AE3E37" w:rsidRDefault="00A9710C">
      <w:pPr>
        <w:pStyle w:val="BodyText"/>
        <w:spacing w:before="90" w:line="280" w:lineRule="auto"/>
        <w:ind w:left="100"/>
        <w:jc w:val="both"/>
      </w:pPr>
      <w:r w:rsidRPr="008511B0">
        <w:rPr>
          <w:i/>
        </w:rPr>
        <w:t>Conclusion &amp; Significance</w:t>
      </w:r>
      <w:r w:rsidR="008511B0">
        <w:t>:</w:t>
      </w:r>
      <w:r w:rsidR="002329B5" w:rsidRPr="002329B5">
        <w:t xml:space="preserve"> </w:t>
      </w:r>
      <w:r w:rsidR="002329B5">
        <w:t>We introduce</w:t>
      </w:r>
      <w:r w:rsidR="00CA1891">
        <w:t>d</w:t>
      </w:r>
      <w:r w:rsidR="002329B5">
        <w:t xml:space="preserve"> natural aluminosilicate h</w:t>
      </w:r>
      <w:r w:rsidR="002329B5" w:rsidRPr="00402625">
        <w:t xml:space="preserve">alloysite clay nanotubes </w:t>
      </w:r>
      <w:r w:rsidR="002329B5">
        <w:t xml:space="preserve">as a pharmaceutical tablet compression and </w:t>
      </w:r>
      <w:r w:rsidR="002329B5">
        <w:rPr>
          <w:rFonts w:cs="Times New Roman"/>
        </w:rPr>
        <w:t xml:space="preserve">demonstrated </w:t>
      </w:r>
      <w:r w:rsidR="008511B0">
        <w:rPr>
          <w:rFonts w:cs="Times New Roman"/>
        </w:rPr>
        <w:t>this nanoclay</w:t>
      </w:r>
      <w:r w:rsidR="002329B5">
        <w:rPr>
          <w:rFonts w:cs="Times New Roman"/>
        </w:rPr>
        <w:t xml:space="preserve"> as a dual purpose tablet filler i.e. vehicle for extended drug release and tablet compression excipient</w:t>
      </w:r>
      <w:r w:rsidR="00543288">
        <w:rPr>
          <w:rFonts w:cs="Times New Roman"/>
        </w:rPr>
        <w:t xml:space="preserve"> [2]</w:t>
      </w:r>
      <w:r w:rsidR="002329B5">
        <w:rPr>
          <w:rFonts w:cs="Times New Roman"/>
        </w:rPr>
        <w:t>.</w:t>
      </w:r>
    </w:p>
    <w:p w:rsidR="00CA1891" w:rsidRPr="00CA1891" w:rsidRDefault="00A9710C" w:rsidP="00CA1891">
      <w:pPr>
        <w:pStyle w:val="Heading3"/>
        <w:spacing w:before="74"/>
        <w:rPr>
          <w:color w:val="BF5A14"/>
        </w:rPr>
      </w:pPr>
      <w:r>
        <w:rPr>
          <w:b w:val="0"/>
        </w:rPr>
        <w:br w:type="column"/>
      </w:r>
      <w:r>
        <w:rPr>
          <w:color w:val="BF5A14"/>
        </w:rPr>
        <w:t>Image</w:t>
      </w:r>
    </w:p>
    <w:p w:rsidR="00CA1891" w:rsidRDefault="00CA1891">
      <w:pPr>
        <w:pStyle w:val="Heading3"/>
        <w:spacing w:before="74"/>
      </w:pPr>
      <w:r w:rsidRPr="00CA1891">
        <w:rPr>
          <w:noProof/>
        </w:rPr>
        <w:drawing>
          <wp:inline distT="0" distB="0" distL="0" distR="0" wp14:anchorId="4526743A" wp14:editId="6F45BA98">
            <wp:extent cx="766405" cy="733629"/>
            <wp:effectExtent l="0" t="0" r="0" b="0"/>
            <wp:docPr id="18434" name="Picture 10" desc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10" descr="a-8"/>
                    <pic:cNvPicPr>
                      <a:picLocks noChangeAspect="1" noChangeArrowheads="1"/>
                    </pic:cNvPicPr>
                  </pic:nvPicPr>
                  <pic:blipFill>
                    <a:blip r:embed="rId9" cstate="email">
                      <a:extLst>
                        <a:ext uri="{28A0092B-C50C-407E-A947-70E740481C1C}">
                          <a14:useLocalDpi xmlns:a14="http://schemas.microsoft.com/office/drawing/2010/main" val="0"/>
                        </a:ext>
                      </a:extLst>
                    </a:blip>
                    <a:srcRect/>
                    <a:stretch>
                      <a:fillRect/>
                    </a:stretch>
                  </pic:blipFill>
                  <pic:spPr bwMode="auto">
                    <a:xfrm>
                      <a:off x="0" y="0"/>
                      <a:ext cx="770758" cy="737796"/>
                    </a:xfrm>
                    <a:prstGeom prst="rect">
                      <a:avLst/>
                    </a:prstGeom>
                    <a:noFill/>
                    <a:ln>
                      <a:noFill/>
                    </a:ln>
                    <a:extLst/>
                  </pic:spPr>
                </pic:pic>
              </a:graphicData>
            </a:graphic>
          </wp:inline>
        </w:drawing>
      </w:r>
      <w:r>
        <w:t xml:space="preserve">  </w:t>
      </w:r>
      <w:r w:rsidRPr="00494342">
        <w:rPr>
          <w:rFonts w:ascii="Times New Roman" w:hAnsi="Times New Roman" w:cs="Times New Roman"/>
          <w:noProof/>
          <w:sz w:val="24"/>
          <w:szCs w:val="24"/>
        </w:rPr>
        <w:drawing>
          <wp:inline distT="0" distB="0" distL="0" distR="0" wp14:anchorId="397266AC" wp14:editId="74D9A255">
            <wp:extent cx="2394354" cy="692406"/>
            <wp:effectExtent l="0" t="0" r="6350" b="0"/>
            <wp:docPr id="5" name="Picture 5" descr="C:\Users\Raghuvara\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ghuvara\Desktop\Picture1.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338" b="7469"/>
                    <a:stretch/>
                  </pic:blipFill>
                  <pic:spPr bwMode="auto">
                    <a:xfrm>
                      <a:off x="0" y="0"/>
                      <a:ext cx="2395886" cy="692849"/>
                    </a:xfrm>
                    <a:prstGeom prst="rect">
                      <a:avLst/>
                    </a:prstGeom>
                    <a:noFill/>
                    <a:ln>
                      <a:noFill/>
                    </a:ln>
                    <a:extLst>
                      <a:ext uri="{53640926-AAD7-44D8-BBD7-CCE9431645EC}">
                        <a14:shadowObscured xmlns:a14="http://schemas.microsoft.com/office/drawing/2010/main"/>
                      </a:ext>
                    </a:extLst>
                  </pic:spPr>
                </pic:pic>
              </a:graphicData>
            </a:graphic>
          </wp:inline>
        </w:drawing>
      </w:r>
    </w:p>
    <w:p w:rsidR="00543288" w:rsidRDefault="00543288">
      <w:pPr>
        <w:pStyle w:val="Heading3"/>
        <w:spacing w:before="74"/>
      </w:pPr>
    </w:p>
    <w:p w:rsidR="00AE3E37" w:rsidRDefault="002329B5">
      <w:pPr>
        <w:pStyle w:val="BodyText"/>
        <w:spacing w:before="2"/>
        <w:rPr>
          <w:rFonts w:ascii="Arial"/>
          <w:b/>
          <w:sz w:val="16"/>
        </w:rPr>
      </w:pPr>
      <w:r w:rsidRPr="002329B5">
        <w:rPr>
          <w:noProof/>
        </w:rPr>
        <w:drawing>
          <wp:inline distT="0" distB="0" distL="0" distR="0">
            <wp:extent cx="3345752" cy="1081491"/>
            <wp:effectExtent l="0" t="0" r="7620" b="4445"/>
            <wp:docPr id="18" name="Picture 18" descr="C:\Users\Raghuvara\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ghuvara\Desktop\Picture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4955" cy="1084466"/>
                    </a:xfrm>
                    <a:prstGeom prst="rect">
                      <a:avLst/>
                    </a:prstGeom>
                    <a:noFill/>
                    <a:ln>
                      <a:noFill/>
                    </a:ln>
                  </pic:spPr>
                </pic:pic>
              </a:graphicData>
            </a:graphic>
          </wp:inline>
        </w:drawing>
      </w:r>
      <w:r w:rsidRPr="002329B5">
        <w:rPr>
          <w:noProof/>
        </w:rPr>
        <w:t xml:space="preserve"> </w:t>
      </w:r>
    </w:p>
    <w:p w:rsidR="00DA5862" w:rsidRDefault="005973B9" w:rsidP="00DA5862">
      <w:pPr>
        <w:spacing w:line="204" w:lineRule="exact"/>
        <w:rPr>
          <w:rFonts w:ascii="Arial"/>
          <w:b/>
          <w:color w:val="BF5A14"/>
          <w:sz w:val="20"/>
        </w:rPr>
      </w:pPr>
      <w:r>
        <w:rPr>
          <w:rFonts w:ascii="Arial"/>
          <w:b/>
          <w:color w:val="BF5A14"/>
          <w:sz w:val="20"/>
        </w:rPr>
        <w:br/>
        <w:t xml:space="preserve">Recent Publications </w:t>
      </w:r>
    </w:p>
    <w:p w:rsidR="00CA1891" w:rsidRDefault="00543288" w:rsidP="00CA1891">
      <w:pPr>
        <w:spacing w:line="204" w:lineRule="exact"/>
        <w:ind w:left="144"/>
        <w:rPr>
          <w:rFonts w:asciiTheme="minorHAnsi" w:hAnsiTheme="minorHAnsi" w:cstheme="minorHAnsi"/>
          <w:sz w:val="12"/>
        </w:rPr>
      </w:pPr>
      <w:r>
        <w:rPr>
          <w:rFonts w:asciiTheme="minorHAnsi" w:hAnsiTheme="minorHAnsi" w:cstheme="minorHAnsi"/>
          <w:color w:val="000000"/>
          <w:sz w:val="18"/>
          <w:szCs w:val="20"/>
        </w:rPr>
        <w:t>1)</w:t>
      </w:r>
      <w:r w:rsidR="006D2F86">
        <w:rPr>
          <w:rFonts w:asciiTheme="minorHAnsi" w:hAnsiTheme="minorHAnsi" w:cstheme="minorHAnsi"/>
          <w:color w:val="000000"/>
          <w:sz w:val="18"/>
          <w:szCs w:val="20"/>
        </w:rPr>
        <w:t xml:space="preserve"> </w:t>
      </w:r>
      <w:r w:rsidR="00C9148E" w:rsidRPr="00CA1891">
        <w:rPr>
          <w:rFonts w:asciiTheme="minorHAnsi" w:hAnsiTheme="minorHAnsi" w:cstheme="minorHAnsi"/>
          <w:color w:val="000000"/>
          <w:sz w:val="18"/>
          <w:szCs w:val="20"/>
        </w:rPr>
        <w:t xml:space="preserve">Yendluri R, Otto D, DeVilliers M, Vinokurov V, Lvov Y. </w:t>
      </w:r>
      <w:r w:rsidR="00C9148E" w:rsidRPr="00CA1891">
        <w:rPr>
          <w:rFonts w:asciiTheme="minorHAnsi" w:hAnsiTheme="minorHAnsi" w:cstheme="minorHAnsi"/>
          <w:sz w:val="18"/>
          <w:szCs w:val="20"/>
        </w:rPr>
        <w:t>Application of halloysite clay nanotubes as a pharmaceutical excipient. International Journal of Pharmaceutics 521: 267-273.</w:t>
      </w:r>
    </w:p>
    <w:p w:rsidR="00CA1891" w:rsidRDefault="00543288" w:rsidP="00CA1891">
      <w:pPr>
        <w:spacing w:line="204" w:lineRule="exact"/>
        <w:ind w:left="144"/>
        <w:rPr>
          <w:rFonts w:asciiTheme="minorHAnsi" w:hAnsiTheme="minorHAnsi" w:cstheme="minorHAnsi"/>
          <w:sz w:val="12"/>
        </w:rPr>
      </w:pPr>
      <w:r>
        <w:rPr>
          <w:rFonts w:asciiTheme="minorHAnsi" w:hAnsiTheme="minorHAnsi" w:cstheme="minorHAnsi"/>
          <w:sz w:val="18"/>
          <w:szCs w:val="20"/>
        </w:rPr>
        <w:t>2)</w:t>
      </w:r>
      <w:r w:rsidR="006D2F86">
        <w:rPr>
          <w:rFonts w:asciiTheme="minorHAnsi" w:hAnsiTheme="minorHAnsi" w:cstheme="minorHAnsi"/>
          <w:sz w:val="18"/>
          <w:szCs w:val="20"/>
        </w:rPr>
        <w:t xml:space="preserve"> </w:t>
      </w:r>
      <w:r w:rsidR="00C9148E" w:rsidRPr="00CA1891">
        <w:rPr>
          <w:rFonts w:asciiTheme="minorHAnsi" w:hAnsiTheme="minorHAnsi" w:cstheme="minorHAnsi"/>
          <w:sz w:val="18"/>
          <w:szCs w:val="20"/>
        </w:rPr>
        <w:t>Lvov Y, De Villiers M, Fakhrullin R. The potential of halloysite tubule clay in drug delivery applications. Expert Opinion in Drug Delivery 13: 977-988.</w:t>
      </w:r>
    </w:p>
    <w:p w:rsidR="00CA1891" w:rsidRPr="006D2F86" w:rsidRDefault="00543288" w:rsidP="00CA1891">
      <w:pPr>
        <w:spacing w:line="204" w:lineRule="exact"/>
        <w:ind w:left="144"/>
        <w:rPr>
          <w:rFonts w:asciiTheme="minorHAnsi" w:hAnsiTheme="minorHAnsi" w:cstheme="minorHAnsi"/>
          <w:sz w:val="12"/>
        </w:rPr>
      </w:pPr>
      <w:r w:rsidRPr="006D2F86">
        <w:rPr>
          <w:rFonts w:asciiTheme="minorHAnsi" w:hAnsiTheme="minorHAnsi" w:cstheme="minorHAnsi"/>
          <w:sz w:val="18"/>
          <w:szCs w:val="24"/>
        </w:rPr>
        <w:t>3)</w:t>
      </w:r>
      <w:r w:rsidR="006D2F86">
        <w:rPr>
          <w:rFonts w:asciiTheme="minorHAnsi" w:hAnsiTheme="minorHAnsi" w:cstheme="minorHAnsi"/>
          <w:sz w:val="18"/>
          <w:szCs w:val="24"/>
        </w:rPr>
        <w:t xml:space="preserve"> </w:t>
      </w:r>
      <w:r w:rsidR="00DA5862" w:rsidRPr="006D2F86">
        <w:rPr>
          <w:rFonts w:asciiTheme="minorHAnsi" w:hAnsiTheme="minorHAnsi" w:cstheme="minorHAnsi"/>
          <w:sz w:val="18"/>
          <w:szCs w:val="24"/>
        </w:rPr>
        <w:t xml:space="preserve">R. Yendluri, Y. Lvov, M. DeVilliers, V. Vinokurov, E. Naumenko , R. Fakhrullin, J. Pharm. </w:t>
      </w:r>
      <w:proofErr w:type="spellStart"/>
      <w:r w:rsidR="00DA5862" w:rsidRPr="006D2F86">
        <w:rPr>
          <w:rFonts w:asciiTheme="minorHAnsi" w:hAnsiTheme="minorHAnsi" w:cstheme="minorHAnsi"/>
          <w:sz w:val="18"/>
          <w:szCs w:val="24"/>
        </w:rPr>
        <w:t>Sci</w:t>
      </w:r>
      <w:proofErr w:type="spellEnd"/>
      <w:r w:rsidR="00DA5862" w:rsidRPr="006D2F86">
        <w:rPr>
          <w:rFonts w:asciiTheme="minorHAnsi" w:hAnsiTheme="minorHAnsi" w:cstheme="minorHAnsi"/>
          <w:sz w:val="18"/>
          <w:szCs w:val="24"/>
        </w:rPr>
        <w:t>, v.106, 2017  “Paclitaxel Encapsulated in Halloysite Clay Nanotubes for Intestinal and Intracellular Delivery,”  DOI: 10.1016/j.xphs.2017.05.034</w:t>
      </w:r>
      <w:r w:rsidR="005167A4" w:rsidRPr="006D2F86">
        <w:rPr>
          <w:rFonts w:asciiTheme="minorHAnsi" w:hAnsiTheme="minorHAnsi" w:cstheme="minorHAnsi"/>
          <w:szCs w:val="24"/>
        </w:rPr>
        <w:t>.</w:t>
      </w:r>
    </w:p>
    <w:p w:rsidR="00CA1891" w:rsidRDefault="00543288" w:rsidP="00CA1891">
      <w:pPr>
        <w:spacing w:line="204" w:lineRule="exact"/>
        <w:ind w:left="144"/>
        <w:rPr>
          <w:rFonts w:asciiTheme="minorHAnsi" w:hAnsiTheme="minorHAnsi" w:cstheme="minorHAnsi"/>
          <w:sz w:val="12"/>
        </w:rPr>
      </w:pPr>
      <w:r>
        <w:rPr>
          <w:rFonts w:asciiTheme="minorHAnsi" w:hAnsiTheme="minorHAnsi" w:cstheme="minorHAnsi"/>
          <w:sz w:val="18"/>
          <w:szCs w:val="18"/>
        </w:rPr>
        <w:t>4)</w:t>
      </w:r>
      <w:r w:rsidR="006D2F86">
        <w:rPr>
          <w:rFonts w:asciiTheme="minorHAnsi" w:hAnsiTheme="minorHAnsi" w:cstheme="minorHAnsi"/>
          <w:sz w:val="18"/>
          <w:szCs w:val="18"/>
        </w:rPr>
        <w:t xml:space="preserve"> </w:t>
      </w:r>
      <w:proofErr w:type="spellStart"/>
      <w:r w:rsidR="00C9148E" w:rsidRPr="00CA1891">
        <w:rPr>
          <w:rFonts w:asciiTheme="minorHAnsi" w:hAnsiTheme="minorHAnsi" w:cstheme="minorHAnsi"/>
          <w:sz w:val="18"/>
          <w:szCs w:val="18"/>
        </w:rPr>
        <w:t>Vergaro</w:t>
      </w:r>
      <w:proofErr w:type="spellEnd"/>
      <w:r w:rsidR="00C9148E" w:rsidRPr="00CA1891">
        <w:rPr>
          <w:rFonts w:asciiTheme="minorHAnsi" w:hAnsiTheme="minorHAnsi" w:cstheme="minorHAnsi"/>
          <w:sz w:val="18"/>
          <w:szCs w:val="18"/>
        </w:rPr>
        <w:t xml:space="preserve"> V, </w:t>
      </w:r>
      <w:proofErr w:type="spellStart"/>
      <w:r w:rsidR="00C9148E" w:rsidRPr="00CA1891">
        <w:rPr>
          <w:rFonts w:asciiTheme="minorHAnsi" w:hAnsiTheme="minorHAnsi" w:cstheme="minorHAnsi"/>
          <w:sz w:val="18"/>
          <w:szCs w:val="18"/>
        </w:rPr>
        <w:t>Abdullayev</w:t>
      </w:r>
      <w:proofErr w:type="spellEnd"/>
      <w:r w:rsidR="00C9148E" w:rsidRPr="00CA1891">
        <w:rPr>
          <w:rFonts w:asciiTheme="minorHAnsi" w:hAnsiTheme="minorHAnsi" w:cstheme="minorHAnsi"/>
          <w:sz w:val="18"/>
          <w:szCs w:val="18"/>
        </w:rPr>
        <w:t xml:space="preserve"> E, Lvov Y, Leporatti S. Cytocompatibility and uptake of Halloysite Clay Nanotubes. Biomacromolecules</w:t>
      </w:r>
      <w:r w:rsidR="00C9148E" w:rsidRPr="00CA1891">
        <w:rPr>
          <w:rFonts w:asciiTheme="minorHAnsi" w:hAnsiTheme="minorHAnsi" w:cstheme="minorHAnsi"/>
          <w:i/>
          <w:sz w:val="18"/>
          <w:szCs w:val="18"/>
        </w:rPr>
        <w:t xml:space="preserve"> </w:t>
      </w:r>
      <w:r w:rsidR="00C9148E" w:rsidRPr="00CA1891">
        <w:rPr>
          <w:rFonts w:asciiTheme="minorHAnsi" w:hAnsiTheme="minorHAnsi" w:cstheme="minorHAnsi"/>
          <w:sz w:val="18"/>
          <w:szCs w:val="18"/>
        </w:rPr>
        <w:t>11: 820-826</w:t>
      </w:r>
      <w:r w:rsidR="005973B9" w:rsidRPr="00CA1891">
        <w:rPr>
          <w:rFonts w:asciiTheme="minorHAnsi" w:hAnsiTheme="minorHAnsi" w:cstheme="minorHAnsi"/>
          <w:sz w:val="18"/>
          <w:szCs w:val="18"/>
        </w:rPr>
        <w:t>.</w:t>
      </w:r>
    </w:p>
    <w:p w:rsidR="005973B9" w:rsidRPr="00CA1891" w:rsidRDefault="00543288" w:rsidP="00CA1891">
      <w:pPr>
        <w:spacing w:line="204" w:lineRule="exact"/>
        <w:ind w:left="144"/>
        <w:rPr>
          <w:rFonts w:asciiTheme="minorHAnsi" w:hAnsiTheme="minorHAnsi" w:cstheme="minorHAnsi"/>
          <w:sz w:val="12"/>
        </w:rPr>
      </w:pPr>
      <w:r>
        <w:rPr>
          <w:rStyle w:val="cit"/>
          <w:rFonts w:asciiTheme="minorHAnsi" w:hAnsiTheme="minorHAnsi" w:cstheme="minorHAnsi"/>
          <w:sz w:val="18"/>
          <w:szCs w:val="24"/>
        </w:rPr>
        <w:t>5)</w:t>
      </w:r>
      <w:r w:rsidR="006D2F86">
        <w:rPr>
          <w:rStyle w:val="cit"/>
          <w:rFonts w:asciiTheme="minorHAnsi" w:hAnsiTheme="minorHAnsi" w:cstheme="minorHAnsi"/>
          <w:sz w:val="18"/>
          <w:szCs w:val="24"/>
        </w:rPr>
        <w:t xml:space="preserve"> </w:t>
      </w:r>
      <w:proofErr w:type="spellStart"/>
      <w:r w:rsidR="0064497C" w:rsidRPr="00CA1891">
        <w:rPr>
          <w:rStyle w:val="cit"/>
          <w:rFonts w:asciiTheme="minorHAnsi" w:hAnsiTheme="minorHAnsi" w:cstheme="minorHAnsi"/>
          <w:sz w:val="18"/>
          <w:szCs w:val="24"/>
        </w:rPr>
        <w:t>Fakhrullina</w:t>
      </w:r>
      <w:proofErr w:type="spellEnd"/>
      <w:r w:rsidR="0064497C" w:rsidRPr="00CA1891">
        <w:rPr>
          <w:rStyle w:val="cit"/>
          <w:rFonts w:asciiTheme="minorHAnsi" w:hAnsiTheme="minorHAnsi" w:cstheme="minorHAnsi"/>
          <w:sz w:val="18"/>
          <w:szCs w:val="24"/>
        </w:rPr>
        <w:t xml:space="preserve"> G, </w:t>
      </w:r>
      <w:proofErr w:type="spellStart"/>
      <w:r w:rsidR="0064497C" w:rsidRPr="00CA1891">
        <w:rPr>
          <w:rStyle w:val="cit"/>
          <w:rFonts w:asciiTheme="minorHAnsi" w:hAnsiTheme="minorHAnsi" w:cstheme="minorHAnsi"/>
          <w:sz w:val="18"/>
          <w:szCs w:val="24"/>
        </w:rPr>
        <w:t>Akhatova</w:t>
      </w:r>
      <w:proofErr w:type="spellEnd"/>
      <w:r w:rsidR="0064497C" w:rsidRPr="00CA1891">
        <w:rPr>
          <w:rStyle w:val="cit"/>
          <w:rFonts w:asciiTheme="minorHAnsi" w:hAnsiTheme="minorHAnsi" w:cstheme="minorHAnsi"/>
          <w:sz w:val="18"/>
          <w:szCs w:val="24"/>
        </w:rPr>
        <w:t xml:space="preserve"> F, Lvov Y. Toxicity of halloysite clay nanotubes in vivo: a Caenorhabditis elegans study. Environmental Science Nano 2: 54-59.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6EA1B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200F9">
        <w:rPr>
          <w:noProof/>
        </w:rPr>
        <w:drawing>
          <wp:inline distT="0" distB="0" distL="0" distR="0" wp14:anchorId="330E87FE">
            <wp:extent cx="565150" cy="621030"/>
            <wp:effectExtent l="0" t="0" r="635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8855" cy="625101"/>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C200F9">
      <w:pPr>
        <w:spacing w:before="41" w:line="154" w:lineRule="exact"/>
        <w:ind w:left="213" w:right="231"/>
        <w:jc w:val="both"/>
        <w:rPr>
          <w:rFonts w:ascii="Arial"/>
          <w:sz w:val="14"/>
        </w:rPr>
      </w:pPr>
      <w:r w:rsidRPr="00C200F9">
        <w:rPr>
          <w:rFonts w:ascii="Arial"/>
          <w:sz w:val="14"/>
        </w:rPr>
        <w:t xml:space="preserve">Yuri M. Lvov is a Professor of Chemistry, T. Pipes Eminent Endowed Chair on Micro and Nanosystems at Louisiana Tech University. He got Ph.D. from </w:t>
      </w:r>
      <w:proofErr w:type="spellStart"/>
      <w:r w:rsidRPr="00C200F9">
        <w:rPr>
          <w:rFonts w:ascii="Arial"/>
          <w:sz w:val="14"/>
        </w:rPr>
        <w:t>M.Lomonosov</w:t>
      </w:r>
      <w:proofErr w:type="spellEnd"/>
      <w:r w:rsidRPr="00C200F9">
        <w:rPr>
          <w:rFonts w:ascii="Arial"/>
          <w:sz w:val="14"/>
        </w:rPr>
        <w:t xml:space="preserve"> Moscow State University and then worked in Mainz University and Max Planck Institute for Colloids and Interfaces, Germany, in Japan (NIMS, Tsukuba), and at Naval Research Laboratory, USA. His area of interest is nanoassembly of ultrathin organized films, construction of ordered shells on tiny templates (drug nanocapsules), clay nanotubes for controlled release of chemical agents and drugs, functional organic-inorganic nanocomposites. He published 250 papers and has over 22,000 citations of his works.</w:t>
      </w:r>
    </w:p>
    <w:p w:rsidR="00AE3E37" w:rsidRDefault="00D928E1" w:rsidP="00724C6E">
      <w:pPr>
        <w:tabs>
          <w:tab w:val="left" w:pos="6660"/>
        </w:tabs>
        <w:spacing w:before="62"/>
        <w:ind w:left="4217" w:right="1960"/>
        <w:rPr>
          <w:rFonts w:ascii="Arial"/>
          <w:sz w:val="14"/>
        </w:rPr>
      </w:pPr>
      <w:r>
        <w:rPr>
          <w:rFonts w:ascii="Arial" w:hAnsi="Arial" w:cs="Arial"/>
          <w:sz w:val="14"/>
        </w:rPr>
        <w:t>Yuri M Lvov</w:t>
      </w:r>
      <w:r w:rsidR="00724C6E" w:rsidRPr="00724C6E">
        <w:rPr>
          <w:rStyle w:val="Hyperlink"/>
          <w:rFonts w:ascii="Arial" w:hAnsi="Arial" w:cs="Arial"/>
          <w:sz w:val="6"/>
        </w:rPr>
        <w:br/>
      </w:r>
      <w:r w:rsidR="00724C6E" w:rsidRPr="00724C6E">
        <w:rPr>
          <w:rFonts w:ascii="Arial" w:hAnsi="Arial" w:cs="Arial"/>
          <w:sz w:val="14"/>
        </w:rPr>
        <w:t>Tel:</w:t>
      </w:r>
      <w:r w:rsidR="00724C6E">
        <w:rPr>
          <w:rFonts w:ascii="Arial" w:hAnsi="Arial" w:cs="Arial"/>
          <w:sz w:val="14"/>
        </w:rPr>
        <w:t xml:space="preserve"> </w:t>
      </w:r>
      <w:r>
        <w:rPr>
          <w:rFonts w:ascii="Arial" w:hAnsi="Arial" w:cs="Arial"/>
          <w:sz w:val="14"/>
        </w:rPr>
        <w:t>318-257-5144</w:t>
      </w:r>
      <w:r w:rsidR="00724C6E">
        <w:rPr>
          <w:rFonts w:ascii="Arial" w:hAnsi="Arial" w:cs="Arial"/>
          <w:sz w:val="14"/>
        </w:rPr>
        <w:br/>
      </w:r>
      <w:r w:rsidR="00724C6E" w:rsidRPr="00724C6E">
        <w:rPr>
          <w:rFonts w:ascii="Arial"/>
          <w:sz w:val="14"/>
        </w:rPr>
        <w:t xml:space="preserve">Session </w:t>
      </w:r>
      <w:r w:rsidR="00724C6E">
        <w:rPr>
          <w:rFonts w:ascii="Arial"/>
          <w:sz w:val="14"/>
        </w:rPr>
        <w:t>N</w:t>
      </w:r>
      <w:r w:rsidR="00724C6E" w:rsidRPr="00724C6E">
        <w:rPr>
          <w:rFonts w:ascii="Arial"/>
          <w:sz w:val="14"/>
        </w:rPr>
        <w:t>ame</w:t>
      </w:r>
      <w:r w:rsidR="00724C6E">
        <w:rPr>
          <w:rFonts w:ascii="Arial"/>
          <w:sz w:val="14"/>
        </w:rPr>
        <w:t>/Number</w:t>
      </w:r>
      <w:r w:rsidR="00724C6E">
        <w:rPr>
          <w:rFonts w:ascii="Arial"/>
          <w:sz w:val="14"/>
        </w:rPr>
        <w:br/>
      </w:r>
      <w:r w:rsidR="00724C6E" w:rsidRPr="00724C6E">
        <w:rPr>
          <w:rFonts w:ascii="Arial"/>
          <w:sz w:val="14"/>
        </w:rPr>
        <w:t>Category</w:t>
      </w:r>
      <w:r w:rsidR="00724C6E">
        <w:rPr>
          <w:rFonts w:ascii="Arial"/>
          <w:sz w:val="14"/>
        </w:rPr>
        <w:t xml:space="preserve">: </w:t>
      </w:r>
      <w:r w:rsidR="00724C6E" w:rsidRPr="00724C6E">
        <w:rPr>
          <w:rFonts w:ascii="Arial"/>
          <w:sz w:val="14"/>
        </w:rPr>
        <w:t>P</w:t>
      </w:r>
      <w:r>
        <w:rPr>
          <w:rFonts w:ascii="Arial"/>
          <w:sz w:val="14"/>
        </w:rPr>
        <w:t>oster presentation</w:t>
      </w:r>
      <w:r w:rsidR="00CA1891">
        <w:rPr>
          <w:rFonts w:ascii="Arial"/>
          <w:sz w:val="14"/>
        </w:rPr>
        <w:t xml:space="preserve"> only</w:t>
      </w:r>
      <w:r w:rsidR="00724C6E">
        <w:rPr>
          <w:rFonts w:ascii="Arial"/>
          <w:sz w:val="14"/>
        </w:rPr>
        <w:br/>
        <w:t xml:space="preserve">Email: </w:t>
      </w:r>
      <w:r>
        <w:rPr>
          <w:rFonts w:ascii="Arial"/>
          <w:sz w:val="14"/>
        </w:rPr>
        <w:t>ylvov@latech.edu</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3087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CA1891">
      <w:pPr>
        <w:pStyle w:val="BodyText"/>
        <w:spacing w:before="3"/>
        <w:rPr>
          <w:rFonts w:ascii="Minion Pro"/>
          <w:sz w:val="26"/>
        </w:rPr>
      </w:pPr>
      <w:r>
        <w:rPr>
          <w:rFonts w:ascii="Arial"/>
          <w:sz w:val="14"/>
        </w:rPr>
        <w:t xml:space="preserve">   </w:t>
      </w:r>
      <w:r w:rsidRPr="00724C6E">
        <w:rPr>
          <w:rFonts w:ascii="Arial"/>
          <w:sz w:val="14"/>
        </w:rPr>
        <w:t>P</w:t>
      </w:r>
      <w:r>
        <w:rPr>
          <w:rFonts w:ascii="Arial"/>
          <w:sz w:val="14"/>
        </w:rPr>
        <w:t>oster presentation only</w:t>
      </w:r>
      <w:r>
        <w:rPr>
          <w:rFonts w:ascii="Arial"/>
          <w:sz w:val="14"/>
        </w:rPr>
        <w:br/>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2DC0" w:rsidRDefault="00442DC0">
      <w:r>
        <w:separator/>
      </w:r>
    </w:p>
  </w:endnote>
  <w:endnote w:type="continuationSeparator" w:id="0">
    <w:p w:rsidR="00442DC0" w:rsidRDefault="00442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2DC0" w:rsidRDefault="00442DC0">
      <w:r>
        <w:separator/>
      </w:r>
    </w:p>
  </w:footnote>
  <w:footnote w:type="continuationSeparator" w:id="0">
    <w:p w:rsidR="00442DC0" w:rsidRDefault="00442D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07EB0"/>
    <w:multiLevelType w:val="hybridMultilevel"/>
    <w:tmpl w:val="18B42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6E36"/>
    <w:rsid w:val="001A1A86"/>
    <w:rsid w:val="002329B5"/>
    <w:rsid w:val="00292ED9"/>
    <w:rsid w:val="002F2ED6"/>
    <w:rsid w:val="00334468"/>
    <w:rsid w:val="00404E5B"/>
    <w:rsid w:val="00414F7B"/>
    <w:rsid w:val="004355DC"/>
    <w:rsid w:val="00442DC0"/>
    <w:rsid w:val="004749B4"/>
    <w:rsid w:val="00494130"/>
    <w:rsid w:val="004F3523"/>
    <w:rsid w:val="005167A4"/>
    <w:rsid w:val="00543288"/>
    <w:rsid w:val="005733F4"/>
    <w:rsid w:val="005973B9"/>
    <w:rsid w:val="005B3A56"/>
    <w:rsid w:val="006060CE"/>
    <w:rsid w:val="0063497F"/>
    <w:rsid w:val="0064497C"/>
    <w:rsid w:val="006D2F86"/>
    <w:rsid w:val="00724C6E"/>
    <w:rsid w:val="008511B0"/>
    <w:rsid w:val="00873DF0"/>
    <w:rsid w:val="008756E6"/>
    <w:rsid w:val="00905C18"/>
    <w:rsid w:val="009B2D44"/>
    <w:rsid w:val="00A07E82"/>
    <w:rsid w:val="00A9710C"/>
    <w:rsid w:val="00AE3E37"/>
    <w:rsid w:val="00B21A57"/>
    <w:rsid w:val="00C200F9"/>
    <w:rsid w:val="00C33602"/>
    <w:rsid w:val="00C9148E"/>
    <w:rsid w:val="00CA1891"/>
    <w:rsid w:val="00CD6F55"/>
    <w:rsid w:val="00D1022A"/>
    <w:rsid w:val="00D307F1"/>
    <w:rsid w:val="00D928E1"/>
    <w:rsid w:val="00DA5862"/>
    <w:rsid w:val="00DE3104"/>
    <w:rsid w:val="00F247A5"/>
    <w:rsid w:val="00F72EEA"/>
    <w:rsid w:val="00F84CAE"/>
    <w:rsid w:val="00F97E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7760D9-C854-4AE7-8284-544FF653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it">
    <w:name w:val="cit"/>
    <w:basedOn w:val="DefaultParagraphFont"/>
    <w:rsid w:val="00644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Raghuvara Yendluri</cp:lastModifiedBy>
  <cp:revision>15</cp:revision>
  <dcterms:created xsi:type="dcterms:W3CDTF">2016-12-15T06:48:00Z</dcterms:created>
  <dcterms:modified xsi:type="dcterms:W3CDTF">2017-07-22T00:12:00Z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