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501" w:rsidRPr="00F75501" w:rsidRDefault="00F75501" w:rsidP="00F75501">
      <w:pPr>
        <w:jc w:val="center"/>
        <w:rPr>
          <w:rFonts w:ascii="Times New Roman" w:hAnsi="Times New Roman" w:cs="Times New Roman"/>
          <w:b/>
          <w:sz w:val="28"/>
          <w:szCs w:val="28"/>
        </w:rPr>
      </w:pPr>
      <w:r>
        <w:rPr>
          <w:rFonts w:ascii="Times New Roman" w:hAnsi="Times New Roman" w:cs="Times New Roman"/>
          <w:b/>
          <w:sz w:val="28"/>
          <w:szCs w:val="28"/>
        </w:rPr>
        <w:t>N</w:t>
      </w:r>
      <w:r w:rsidRPr="00F75501">
        <w:rPr>
          <w:rFonts w:ascii="Times New Roman" w:hAnsi="Times New Roman" w:cs="Times New Roman"/>
          <w:b/>
          <w:sz w:val="28"/>
          <w:szCs w:val="28"/>
        </w:rPr>
        <w:t>on-aqueous gel based</w:t>
      </w:r>
      <w:r>
        <w:rPr>
          <w:rFonts w:ascii="Times New Roman" w:hAnsi="Times New Roman" w:cs="Times New Roman"/>
          <w:b/>
          <w:sz w:val="28"/>
          <w:szCs w:val="28"/>
        </w:rPr>
        <w:t xml:space="preserve"> carrier</w:t>
      </w:r>
      <w:r w:rsidRPr="00F75501">
        <w:rPr>
          <w:rFonts w:ascii="Times New Roman" w:hAnsi="Times New Roman" w:cs="Times New Roman"/>
          <w:b/>
          <w:sz w:val="28"/>
          <w:szCs w:val="28"/>
        </w:rPr>
        <w:t xml:space="preserve"> system for the transdermal delivery </w:t>
      </w:r>
      <w:r>
        <w:rPr>
          <w:rFonts w:ascii="Times New Roman" w:hAnsi="Times New Roman" w:cs="Times New Roman"/>
          <w:b/>
          <w:sz w:val="28"/>
          <w:szCs w:val="28"/>
        </w:rPr>
        <w:t xml:space="preserve">of Aceclofenac </w:t>
      </w:r>
      <w:r w:rsidRPr="00F75501">
        <w:rPr>
          <w:rFonts w:ascii="Times New Roman" w:hAnsi="Times New Roman" w:cs="Times New Roman"/>
          <w:b/>
          <w:sz w:val="28"/>
          <w:szCs w:val="28"/>
        </w:rPr>
        <w:t xml:space="preserve">with </w:t>
      </w:r>
      <w:r>
        <w:rPr>
          <w:rFonts w:ascii="Times New Roman" w:hAnsi="Times New Roman" w:cs="Times New Roman"/>
          <w:b/>
          <w:sz w:val="28"/>
          <w:szCs w:val="28"/>
        </w:rPr>
        <w:t>enhanced efficacy, safety and</w:t>
      </w:r>
      <w:r w:rsidRPr="00F75501">
        <w:rPr>
          <w:rFonts w:ascii="Times New Roman" w:hAnsi="Times New Roman" w:cs="Times New Roman"/>
          <w:b/>
          <w:sz w:val="28"/>
          <w:szCs w:val="28"/>
        </w:rPr>
        <w:t xml:space="preserve"> stability</w:t>
      </w:r>
    </w:p>
    <w:p w:rsidR="00F75501" w:rsidRPr="00F75501" w:rsidRDefault="00F75501" w:rsidP="00F75501">
      <w:pPr>
        <w:jc w:val="both"/>
        <w:rPr>
          <w:rFonts w:ascii="Times New Roman" w:hAnsi="Times New Roman" w:cs="Times New Roman"/>
          <w:b/>
          <w:sz w:val="24"/>
          <w:szCs w:val="24"/>
        </w:rPr>
      </w:pPr>
      <w:r w:rsidRPr="00F75501">
        <w:rPr>
          <w:rFonts w:ascii="Times New Roman" w:hAnsi="Times New Roman" w:cs="Times New Roman"/>
          <w:b/>
          <w:sz w:val="24"/>
          <w:szCs w:val="24"/>
        </w:rPr>
        <w:t>Abstract</w:t>
      </w:r>
    </w:p>
    <w:p w:rsidR="00F75501" w:rsidRPr="00F75501" w:rsidRDefault="00F75501" w:rsidP="00F75501">
      <w:pPr>
        <w:spacing w:before="240" w:after="240" w:line="360" w:lineRule="auto"/>
        <w:jc w:val="both"/>
        <w:rPr>
          <w:rFonts w:ascii="Times New Roman" w:hAnsi="Times New Roman" w:cs="Times New Roman"/>
          <w:sz w:val="24"/>
          <w:szCs w:val="24"/>
          <w:lang w:val="en-US"/>
        </w:rPr>
      </w:pPr>
      <w:r w:rsidRPr="00F75501">
        <w:rPr>
          <w:rFonts w:ascii="Times New Roman" w:hAnsi="Times New Roman" w:cs="Times New Roman"/>
          <w:sz w:val="24"/>
          <w:szCs w:val="24"/>
          <w:lang w:val="en-US"/>
        </w:rPr>
        <w:t xml:space="preserve">The study was intended to develop a lipid-based carrier system of drug aceclofenac (ACE) with improved stability along with transdermal delivery prospective to the affected sites of osteoarthritis. The drug was entrapped in a proniosomal based non-aqueous gel, </w:t>
      </w:r>
      <w:r w:rsidRPr="00F75501">
        <w:rPr>
          <w:rFonts w:ascii="Times New Roman" w:hAnsi="Times New Roman" w:cs="Times New Roman"/>
          <w:i/>
          <w:sz w:val="24"/>
          <w:szCs w:val="24"/>
          <w:lang w:val="en-US"/>
        </w:rPr>
        <w:t>i.e.</w:t>
      </w:r>
      <w:r w:rsidRPr="00F75501">
        <w:rPr>
          <w:rFonts w:ascii="Times New Roman" w:hAnsi="Times New Roman" w:cs="Times New Roman"/>
          <w:sz w:val="24"/>
          <w:szCs w:val="24"/>
          <w:lang w:val="en-US"/>
        </w:rPr>
        <w:t xml:space="preserve">, versa gel. The particle size, polydispersity index (PDI) &amp; zeta potential of the prepared system were obtained as </w:t>
      </w:r>
      <w:r w:rsidRPr="00F75501">
        <w:rPr>
          <w:rFonts w:ascii="Times New Roman" w:hAnsi="Times New Roman" w:cs="Times New Roman"/>
          <w:sz w:val="24"/>
          <w:szCs w:val="24"/>
        </w:rPr>
        <w:t>369.6 nm, 0.513 and -25.3 mV</w:t>
      </w:r>
      <w:r w:rsidRPr="00F75501">
        <w:rPr>
          <w:rFonts w:ascii="Times New Roman" w:hAnsi="Times New Roman" w:cs="Times New Roman"/>
          <w:sz w:val="24"/>
          <w:szCs w:val="24"/>
          <w:lang w:val="en-US"/>
        </w:rPr>
        <w:t xml:space="preserve">, respectively. FTIR and ATR-FTIR studies proved the useful interaction of the drug with the lipid bilayers of the proniosomal system and stratum corneum of the skin respectively. The prepared proniosomal based carrier system was a shear-thinning in character with the yield value of </w:t>
      </w:r>
      <w:r w:rsidRPr="00F75501">
        <w:rPr>
          <w:rFonts w:ascii="Times New Roman" w:hAnsi="Times New Roman" w:cs="Times New Roman"/>
          <w:sz w:val="24"/>
          <w:szCs w:val="24"/>
        </w:rPr>
        <w:t xml:space="preserve">12.31 </w:t>
      </w:r>
      <w:r w:rsidRPr="00F75501">
        <w:rPr>
          <w:rFonts w:ascii="Times New Roman" w:hAnsi="Times New Roman" w:cs="Times New Roman"/>
          <w:sz w:val="24"/>
          <w:szCs w:val="24"/>
          <w:lang w:val="en-US"/>
        </w:rPr>
        <w:t xml:space="preserve">and viscosity of </w:t>
      </w:r>
      <w:r w:rsidRPr="00F75501">
        <w:rPr>
          <w:rFonts w:ascii="Times New Roman" w:hAnsi="Times New Roman" w:cs="Times New Roman"/>
          <w:sz w:val="24"/>
          <w:szCs w:val="24"/>
        </w:rPr>
        <w:t>173.29</w:t>
      </w:r>
      <w:r w:rsidRPr="00F75501">
        <w:rPr>
          <w:rFonts w:ascii="Times New Roman" w:hAnsi="Times New Roman" w:cs="Times New Roman"/>
          <w:sz w:val="24"/>
          <w:szCs w:val="24"/>
          <w:lang w:val="en-US"/>
        </w:rPr>
        <w:t>. Anti-inflammatory and analgesic animal models revealed the supremacy of the prepared vesicle-composed gel over the marketed gel with increased skin bioavailability of the drug to the different layers of skin. Moreover, skin irritancy studies performed on LACA mice proved the safety and non-irritancy of the prepared formulation. The formulation was found stable for the period of six months. In a crux, it shows the way for the advancement of an effective and stable formulation for skin application.</w:t>
      </w:r>
    </w:p>
    <w:p w:rsidR="00F75501" w:rsidRPr="00F75501" w:rsidRDefault="00F75501" w:rsidP="00F75501">
      <w:pPr>
        <w:spacing w:before="240" w:after="240" w:line="360" w:lineRule="auto"/>
        <w:jc w:val="both"/>
        <w:rPr>
          <w:rFonts w:ascii="Times New Roman" w:hAnsi="Times New Roman" w:cs="Times New Roman"/>
          <w:sz w:val="24"/>
          <w:szCs w:val="24"/>
          <w:lang w:val="en-US"/>
        </w:rPr>
      </w:pPr>
      <w:r w:rsidRPr="00F75501">
        <w:rPr>
          <w:rFonts w:ascii="Times New Roman" w:hAnsi="Times New Roman" w:cs="Times New Roman"/>
          <w:b/>
          <w:sz w:val="24"/>
          <w:szCs w:val="24"/>
          <w:lang w:val="en-US"/>
        </w:rPr>
        <w:t>Keywords</w:t>
      </w:r>
      <w:r w:rsidRPr="00F75501">
        <w:rPr>
          <w:rFonts w:ascii="Times New Roman" w:hAnsi="Times New Roman" w:cs="Times New Roman"/>
          <w:sz w:val="24"/>
          <w:szCs w:val="24"/>
          <w:lang w:val="en-US"/>
        </w:rPr>
        <w:t>: Aceclofenac, proniosomal based gel, transdermal delivery</w:t>
      </w:r>
    </w:p>
    <w:p w:rsidR="00F80288" w:rsidRPr="00F75501" w:rsidRDefault="00F80288">
      <w:pPr>
        <w:rPr>
          <w:rFonts w:ascii="Times New Roman" w:hAnsi="Times New Roman" w:cs="Times New Roman"/>
          <w:sz w:val="24"/>
          <w:szCs w:val="24"/>
        </w:rPr>
      </w:pPr>
    </w:p>
    <w:sectPr w:rsidR="00F80288" w:rsidRPr="00F75501" w:rsidSect="00F8028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F75501"/>
    <w:rsid w:val="00F75501"/>
    <w:rsid w:val="00F8028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5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1216</Characters>
  <Application>Microsoft Office Word</Application>
  <DocSecurity>0</DocSecurity>
  <Lines>10</Lines>
  <Paragraphs>2</Paragraphs>
  <ScaleCrop>false</ScaleCrop>
  <Company>Hewlett-Packard</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2017-05-17T16:24:00Z</dcterms:created>
  <dcterms:modified xsi:type="dcterms:W3CDTF">2017-05-17T16:26:00Z</dcterms:modified>
</cp:coreProperties>
</file>