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D1A12" w14:textId="77777777" w:rsidR="005B4220" w:rsidRPr="00C909FF" w:rsidRDefault="005B4220" w:rsidP="00C909FF">
      <w:pPr>
        <w:spacing w:after="0" w:line="240" w:lineRule="auto"/>
        <w:jc w:val="center"/>
        <w:rPr>
          <w:rFonts w:ascii="Times New Roman" w:hAnsi="Times New Roman" w:cs="Times New Roman"/>
          <w:b/>
          <w:sz w:val="24"/>
          <w:szCs w:val="24"/>
          <w:lang w:val="en-US"/>
        </w:rPr>
      </w:pPr>
      <w:r w:rsidRPr="00C909FF">
        <w:rPr>
          <w:rFonts w:ascii="Times New Roman" w:hAnsi="Times New Roman" w:cs="Times New Roman"/>
          <w:b/>
          <w:bCs/>
          <w:sz w:val="24"/>
          <w:szCs w:val="24"/>
        </w:rPr>
        <w:t>A Novel Method Development and Validation for Determination of 2,4,6-Trinitrotoluene and its Metabolites on LC-MS/MS</w:t>
      </w:r>
    </w:p>
    <w:p w14:paraId="353DFF94" w14:textId="77777777" w:rsidR="005B4220" w:rsidRPr="00C909FF" w:rsidRDefault="005B4220" w:rsidP="00C909FF">
      <w:pPr>
        <w:spacing w:after="0" w:line="240" w:lineRule="auto"/>
        <w:jc w:val="both"/>
        <w:rPr>
          <w:rFonts w:ascii="Times New Roman" w:hAnsi="Times New Roman" w:cs="Times New Roman"/>
          <w:b/>
          <w:sz w:val="24"/>
          <w:szCs w:val="24"/>
        </w:rPr>
      </w:pPr>
    </w:p>
    <w:p w14:paraId="26829ED8" w14:textId="7D75D013" w:rsidR="005B4220" w:rsidRPr="00C909FF" w:rsidRDefault="005B4220" w:rsidP="00C909FF">
      <w:pPr>
        <w:autoSpaceDE w:val="0"/>
        <w:autoSpaceDN w:val="0"/>
        <w:adjustRightInd w:val="0"/>
        <w:spacing w:after="0" w:line="240" w:lineRule="auto"/>
        <w:jc w:val="both"/>
        <w:rPr>
          <w:rFonts w:ascii="Times New Roman" w:hAnsi="Times New Roman" w:cs="Times New Roman"/>
          <w:sz w:val="24"/>
          <w:szCs w:val="24"/>
        </w:rPr>
      </w:pPr>
      <w:r w:rsidRPr="00C909FF">
        <w:rPr>
          <w:rFonts w:ascii="Times New Roman" w:hAnsi="Times New Roman" w:cs="Times New Roman"/>
          <w:sz w:val="24"/>
          <w:szCs w:val="24"/>
        </w:rPr>
        <w:t>Muhammad Aamir</w:t>
      </w:r>
      <w:r w:rsidRPr="00C909FF">
        <w:rPr>
          <w:rFonts w:ascii="Times New Roman" w:hAnsi="Times New Roman" w:cs="Times New Roman"/>
          <w:sz w:val="24"/>
          <w:szCs w:val="24"/>
          <w:vertAlign w:val="superscript"/>
        </w:rPr>
        <w:t>1</w:t>
      </w:r>
      <w:r w:rsidRPr="00C909FF">
        <w:rPr>
          <w:rFonts w:ascii="Times New Roman" w:hAnsi="Times New Roman" w:cs="Times New Roman"/>
          <w:sz w:val="24"/>
          <w:szCs w:val="24"/>
        </w:rPr>
        <w:t>, Sobia Irum</w:t>
      </w:r>
      <w:r w:rsidRPr="00C909FF">
        <w:rPr>
          <w:rFonts w:ascii="Times New Roman" w:hAnsi="Times New Roman" w:cs="Times New Roman"/>
          <w:sz w:val="24"/>
          <w:szCs w:val="24"/>
          <w:vertAlign w:val="superscript"/>
        </w:rPr>
        <w:t>1</w:t>
      </w:r>
      <w:r w:rsidRPr="00C909FF">
        <w:rPr>
          <w:rFonts w:ascii="Times New Roman" w:hAnsi="Times New Roman" w:cs="Times New Roman"/>
          <w:sz w:val="24"/>
          <w:szCs w:val="24"/>
        </w:rPr>
        <w:t>, Amer Siddiq</w:t>
      </w:r>
      <w:r w:rsidRPr="00C909FF">
        <w:rPr>
          <w:rFonts w:ascii="Times New Roman" w:hAnsi="Times New Roman" w:cs="Times New Roman"/>
          <w:sz w:val="24"/>
          <w:szCs w:val="24"/>
          <w:vertAlign w:val="superscript"/>
        </w:rPr>
        <w:t>2</w:t>
      </w:r>
      <w:r w:rsidRPr="00C909FF">
        <w:rPr>
          <w:rFonts w:ascii="Times New Roman" w:hAnsi="Times New Roman" w:cs="Times New Roman"/>
          <w:sz w:val="24"/>
          <w:szCs w:val="24"/>
        </w:rPr>
        <w:t xml:space="preserve">, </w:t>
      </w:r>
      <w:r w:rsidR="00BF0198" w:rsidRPr="00C909FF">
        <w:rPr>
          <w:rFonts w:ascii="Times New Roman" w:hAnsi="Times New Roman" w:cs="Times New Roman"/>
          <w:sz w:val="24"/>
          <w:szCs w:val="24"/>
        </w:rPr>
        <w:t>Hafiza Monaza Batool</w:t>
      </w:r>
      <w:r w:rsidR="00BF0198" w:rsidRPr="00C909FF">
        <w:rPr>
          <w:rFonts w:ascii="Times New Roman" w:hAnsi="Times New Roman" w:cs="Times New Roman"/>
          <w:sz w:val="24"/>
          <w:szCs w:val="24"/>
          <w:vertAlign w:val="superscript"/>
        </w:rPr>
        <w:t>1</w:t>
      </w:r>
      <w:r w:rsidR="004F4F17">
        <w:rPr>
          <w:rFonts w:ascii="Times New Roman" w:hAnsi="Times New Roman" w:cs="Times New Roman"/>
          <w:sz w:val="24"/>
          <w:szCs w:val="24"/>
          <w:vertAlign w:val="superscript"/>
        </w:rPr>
        <w:t>,3</w:t>
      </w:r>
      <w:r w:rsidR="00700D1B">
        <w:rPr>
          <w:rFonts w:ascii="Times New Roman" w:hAnsi="Times New Roman" w:cs="Times New Roman"/>
          <w:sz w:val="24"/>
          <w:szCs w:val="24"/>
        </w:rPr>
        <w:t xml:space="preserve"> (</w:t>
      </w:r>
      <w:r w:rsidR="0013737A">
        <w:rPr>
          <w:rFonts w:ascii="Times New Roman" w:hAnsi="Times New Roman" w:cs="Times New Roman"/>
          <w:sz w:val="24"/>
          <w:szCs w:val="24"/>
        </w:rPr>
        <w:t>Presenter</w:t>
      </w:r>
      <w:r w:rsidR="00700D1B">
        <w:rPr>
          <w:rFonts w:ascii="Times New Roman" w:hAnsi="Times New Roman" w:cs="Times New Roman"/>
          <w:sz w:val="24"/>
          <w:szCs w:val="24"/>
        </w:rPr>
        <w:t>)</w:t>
      </w:r>
      <w:r w:rsidR="00BF0198" w:rsidRPr="00C909FF">
        <w:rPr>
          <w:rFonts w:ascii="Times New Roman" w:hAnsi="Times New Roman" w:cs="Times New Roman"/>
          <w:sz w:val="24"/>
          <w:szCs w:val="24"/>
        </w:rPr>
        <w:t xml:space="preserve">, </w:t>
      </w:r>
      <w:r w:rsidRPr="00C909FF">
        <w:rPr>
          <w:rFonts w:ascii="Times New Roman" w:hAnsi="Times New Roman" w:cs="Times New Roman"/>
          <w:sz w:val="24"/>
          <w:szCs w:val="24"/>
        </w:rPr>
        <w:t>Nisar Ahmed</w:t>
      </w:r>
      <w:r w:rsidRPr="00C909FF">
        <w:rPr>
          <w:rFonts w:ascii="Times New Roman" w:hAnsi="Times New Roman" w:cs="Times New Roman"/>
          <w:sz w:val="24"/>
          <w:szCs w:val="24"/>
          <w:vertAlign w:val="superscript"/>
        </w:rPr>
        <w:t>1</w:t>
      </w:r>
      <w:r w:rsidR="004F4F17">
        <w:rPr>
          <w:rFonts w:ascii="Times New Roman" w:hAnsi="Times New Roman" w:cs="Times New Roman"/>
          <w:sz w:val="24"/>
          <w:szCs w:val="24"/>
          <w:vertAlign w:val="superscript"/>
        </w:rPr>
        <w:t>,3</w:t>
      </w:r>
      <w:r w:rsidRPr="00C909FF">
        <w:rPr>
          <w:rFonts w:ascii="Times New Roman" w:hAnsi="Times New Roman" w:cs="Times New Roman"/>
          <w:sz w:val="24"/>
          <w:szCs w:val="24"/>
        </w:rPr>
        <w:t>, Muhammad Hamid Awais</w:t>
      </w:r>
      <w:r w:rsidRPr="00C909FF">
        <w:rPr>
          <w:rFonts w:ascii="Times New Roman" w:hAnsi="Times New Roman" w:cs="Times New Roman"/>
          <w:sz w:val="24"/>
          <w:szCs w:val="24"/>
          <w:vertAlign w:val="superscript"/>
        </w:rPr>
        <w:t>1</w:t>
      </w:r>
      <w:r w:rsidRPr="00C909FF">
        <w:rPr>
          <w:rFonts w:ascii="Times New Roman" w:hAnsi="Times New Roman" w:cs="Times New Roman"/>
          <w:sz w:val="24"/>
          <w:szCs w:val="24"/>
        </w:rPr>
        <w:t>, Sadiq Ali</w:t>
      </w:r>
      <w:r w:rsidRPr="00C909FF">
        <w:rPr>
          <w:rFonts w:ascii="Times New Roman" w:hAnsi="Times New Roman" w:cs="Times New Roman"/>
          <w:sz w:val="24"/>
          <w:szCs w:val="24"/>
          <w:vertAlign w:val="superscript"/>
        </w:rPr>
        <w:t>1</w:t>
      </w:r>
      <w:r w:rsidR="004F4F17">
        <w:rPr>
          <w:rFonts w:ascii="Times New Roman" w:hAnsi="Times New Roman" w:cs="Times New Roman"/>
          <w:sz w:val="24"/>
          <w:szCs w:val="24"/>
          <w:vertAlign w:val="superscript"/>
        </w:rPr>
        <w:t>,3</w:t>
      </w:r>
      <w:r w:rsidRPr="00C909FF">
        <w:rPr>
          <w:rFonts w:ascii="Times New Roman" w:hAnsi="Times New Roman" w:cs="Times New Roman"/>
          <w:sz w:val="24"/>
          <w:szCs w:val="24"/>
        </w:rPr>
        <w:t>.</w:t>
      </w:r>
    </w:p>
    <w:p w14:paraId="7C148248" w14:textId="77777777" w:rsidR="005B4220" w:rsidRPr="00C909FF" w:rsidRDefault="005B4220" w:rsidP="00C909FF">
      <w:pPr>
        <w:autoSpaceDE w:val="0"/>
        <w:autoSpaceDN w:val="0"/>
        <w:adjustRightInd w:val="0"/>
        <w:spacing w:after="0" w:line="240" w:lineRule="auto"/>
        <w:jc w:val="both"/>
        <w:rPr>
          <w:rFonts w:ascii="Times New Roman" w:hAnsi="Times New Roman" w:cs="Times New Roman"/>
          <w:sz w:val="24"/>
          <w:szCs w:val="24"/>
          <w:vertAlign w:val="superscript"/>
        </w:rPr>
      </w:pPr>
    </w:p>
    <w:p w14:paraId="39D6FEBD" w14:textId="77777777" w:rsidR="005B4220" w:rsidRPr="00C909FF" w:rsidRDefault="005B4220" w:rsidP="00C909FF">
      <w:pPr>
        <w:autoSpaceDE w:val="0"/>
        <w:autoSpaceDN w:val="0"/>
        <w:adjustRightInd w:val="0"/>
        <w:spacing w:after="0" w:line="240" w:lineRule="auto"/>
        <w:jc w:val="both"/>
        <w:rPr>
          <w:rFonts w:ascii="Times New Roman" w:hAnsi="Times New Roman" w:cs="Times New Roman"/>
          <w:sz w:val="24"/>
          <w:szCs w:val="24"/>
        </w:rPr>
      </w:pPr>
      <w:r w:rsidRPr="00C909FF">
        <w:rPr>
          <w:rFonts w:ascii="Times New Roman" w:hAnsi="Times New Roman" w:cs="Times New Roman"/>
          <w:sz w:val="24"/>
          <w:szCs w:val="24"/>
          <w:vertAlign w:val="superscript"/>
        </w:rPr>
        <w:t>1</w:t>
      </w:r>
      <w:r w:rsidRPr="00C909FF">
        <w:rPr>
          <w:rFonts w:ascii="Times New Roman" w:hAnsi="Times New Roman" w:cs="Times New Roman"/>
          <w:sz w:val="24"/>
          <w:szCs w:val="24"/>
        </w:rPr>
        <w:t>Department of Chemical Pathology and Endocrinology, Armed Forces Institute of Pathology, Rawalpindi, Pakistan.</w:t>
      </w:r>
    </w:p>
    <w:p w14:paraId="54DF4FD1" w14:textId="0CC69AD1" w:rsidR="0079711B" w:rsidRDefault="005B4220" w:rsidP="005A6128">
      <w:pPr>
        <w:autoSpaceDE w:val="0"/>
        <w:autoSpaceDN w:val="0"/>
        <w:adjustRightInd w:val="0"/>
        <w:spacing w:after="0" w:line="240" w:lineRule="auto"/>
        <w:jc w:val="both"/>
        <w:rPr>
          <w:rFonts w:ascii="Times New Roman" w:hAnsi="Times New Roman" w:cs="Times New Roman"/>
          <w:sz w:val="24"/>
          <w:szCs w:val="24"/>
        </w:rPr>
      </w:pPr>
      <w:r w:rsidRPr="00C909FF">
        <w:rPr>
          <w:rFonts w:ascii="Times New Roman" w:hAnsi="Times New Roman" w:cs="Times New Roman"/>
          <w:sz w:val="24"/>
          <w:szCs w:val="24"/>
          <w:vertAlign w:val="superscript"/>
        </w:rPr>
        <w:t>2</w:t>
      </w:r>
      <w:r w:rsidRPr="00C909FF">
        <w:rPr>
          <w:rFonts w:ascii="Times New Roman" w:hAnsi="Times New Roman" w:cs="Times New Roman"/>
          <w:sz w:val="24"/>
          <w:szCs w:val="24"/>
        </w:rPr>
        <w:t>Watim Medical &amp; Dental College Rawalpindi</w:t>
      </w:r>
    </w:p>
    <w:p w14:paraId="3A2DF11C" w14:textId="28FD865C" w:rsidR="003D774D" w:rsidRDefault="003D774D" w:rsidP="003D774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3</w:t>
      </w:r>
      <w:r w:rsidRPr="003D774D">
        <w:rPr>
          <w:rFonts w:ascii="Times New Roman" w:hAnsi="Times New Roman" w:cs="Times New Roman"/>
          <w:sz w:val="24"/>
          <w:szCs w:val="24"/>
        </w:rPr>
        <w:t>Forensic Toxicology Department, Armed Forces Institute of Pathology, Rawalpindi, Pakistan</w:t>
      </w:r>
    </w:p>
    <w:p w14:paraId="279358AA" w14:textId="77777777" w:rsidR="005A6128" w:rsidRPr="005A6128" w:rsidRDefault="005A6128" w:rsidP="005A6128">
      <w:pPr>
        <w:autoSpaceDE w:val="0"/>
        <w:autoSpaceDN w:val="0"/>
        <w:adjustRightInd w:val="0"/>
        <w:spacing w:after="0" w:line="240" w:lineRule="auto"/>
        <w:jc w:val="both"/>
        <w:rPr>
          <w:rFonts w:ascii="Times New Roman" w:hAnsi="Times New Roman" w:cs="Times New Roman"/>
          <w:sz w:val="24"/>
          <w:szCs w:val="24"/>
        </w:rPr>
      </w:pPr>
    </w:p>
    <w:p w14:paraId="132BCA4F" w14:textId="3C4F9A4D" w:rsidR="0046718F" w:rsidRPr="00C909FF" w:rsidRDefault="0046718F" w:rsidP="00C909FF">
      <w:pPr>
        <w:spacing w:line="240" w:lineRule="auto"/>
        <w:rPr>
          <w:rFonts w:ascii="Times New Roman" w:hAnsi="Times New Roman" w:cs="Times New Roman"/>
          <w:b/>
          <w:sz w:val="24"/>
          <w:szCs w:val="24"/>
        </w:rPr>
      </w:pPr>
      <w:r w:rsidRPr="00C909FF">
        <w:rPr>
          <w:rFonts w:ascii="Times New Roman" w:hAnsi="Times New Roman" w:cs="Times New Roman"/>
          <w:b/>
          <w:sz w:val="24"/>
          <w:szCs w:val="24"/>
        </w:rPr>
        <w:t>Abstract</w:t>
      </w:r>
    </w:p>
    <w:p w14:paraId="11FCF492" w14:textId="77777777" w:rsidR="0046718F" w:rsidRPr="00C909FF" w:rsidRDefault="0046718F" w:rsidP="00C909FF">
      <w:pPr>
        <w:spacing w:line="240" w:lineRule="auto"/>
        <w:jc w:val="both"/>
        <w:rPr>
          <w:rFonts w:ascii="Times New Roman" w:hAnsi="Times New Roman" w:cs="Times New Roman"/>
          <w:sz w:val="24"/>
          <w:szCs w:val="24"/>
        </w:rPr>
      </w:pPr>
      <w:r w:rsidRPr="00C909FF">
        <w:rPr>
          <w:rFonts w:ascii="Times New Roman" w:hAnsi="Times New Roman" w:cs="Times New Roman"/>
          <w:sz w:val="24"/>
          <w:szCs w:val="24"/>
        </w:rPr>
        <w:t xml:space="preserve">LC-MS/MS has recently emerged as the best practice for simultaneous analysis of 2, 4, 6 Trinitrotoluene (TNT) and its metabolites. We have developed and validated an LC-MS/MS method for simultaneous quantification of 2, 4, 6 Trinitrotoluene (TNT) and its metabolites 4-ADNT, 2-ADNT, 2,4-DNT, and 2,6-DNT in urine samples. These four metabolites were acid </w:t>
      </w:r>
      <w:proofErr w:type="spellStart"/>
      <w:r w:rsidRPr="00C909FF">
        <w:rPr>
          <w:rFonts w:ascii="Times New Roman" w:hAnsi="Times New Roman" w:cs="Times New Roman"/>
          <w:sz w:val="24"/>
          <w:szCs w:val="24"/>
        </w:rPr>
        <w:t>hydrolyzed</w:t>
      </w:r>
      <w:proofErr w:type="spellEnd"/>
      <w:r w:rsidRPr="00C909FF">
        <w:rPr>
          <w:rFonts w:ascii="Times New Roman" w:hAnsi="Times New Roman" w:cs="Times New Roman"/>
          <w:sz w:val="24"/>
          <w:szCs w:val="24"/>
        </w:rPr>
        <w:t xml:space="preserve"> using 1mL of urine followed by extraction using n-Hexane and ethyl acetate as an extracting solvent. Separation was achieved by centrifugation, and the supernatant was dried under nitrogen, reconstituted with water and acetonitrile, and then filtered. Chromatographic separation was achieved on Agilent </w:t>
      </w:r>
      <w:proofErr w:type="spellStart"/>
      <w:r w:rsidRPr="00C909FF">
        <w:rPr>
          <w:rFonts w:ascii="Times New Roman" w:hAnsi="Times New Roman" w:cs="Times New Roman"/>
          <w:sz w:val="24"/>
          <w:szCs w:val="24"/>
        </w:rPr>
        <w:t>Poroshel</w:t>
      </w:r>
      <w:proofErr w:type="spellEnd"/>
      <w:r w:rsidRPr="00C909FF">
        <w:rPr>
          <w:rFonts w:ascii="Times New Roman" w:hAnsi="Times New Roman" w:cs="Times New Roman"/>
          <w:sz w:val="24"/>
          <w:szCs w:val="24"/>
        </w:rPr>
        <w:t xml:space="preserve"> 120 EC-C18 column (2.1mm × 75mm × 2.7 µm) utilizing two mobile phases 0.1% formic acid in water and 0.1% formic acid in acetonitrile in gradient flow. The validated AMR of TNT and its metabolites was 7.8-1000 ng/mL. The method showed an excellent correlation (&gt; 0.99) for TNT and its metabolites. Accuracy and within/between day precision of TNT and its metabolites were within ±15%. The integrity of diluted samples was maintained for each dilution factor. The method was found stable after storage and freeze-thaw cycle. The presented method can be used for TNT screening in occupationally exposed ordnance factory workers.</w:t>
      </w:r>
    </w:p>
    <w:p w14:paraId="303F3D89" w14:textId="77777777" w:rsidR="0046718F" w:rsidRPr="00C909FF" w:rsidRDefault="0046718F" w:rsidP="00C909FF">
      <w:pPr>
        <w:spacing w:after="0" w:line="240" w:lineRule="auto"/>
        <w:jc w:val="both"/>
        <w:rPr>
          <w:rFonts w:ascii="Times New Roman" w:hAnsi="Times New Roman" w:cs="Times New Roman"/>
          <w:sz w:val="24"/>
          <w:szCs w:val="24"/>
        </w:rPr>
      </w:pPr>
      <w:r w:rsidRPr="00C909FF">
        <w:rPr>
          <w:rFonts w:ascii="Times New Roman" w:hAnsi="Times New Roman" w:cs="Times New Roman"/>
          <w:b/>
          <w:sz w:val="24"/>
          <w:szCs w:val="24"/>
        </w:rPr>
        <w:t>Keywords:</w:t>
      </w:r>
      <w:r w:rsidRPr="00C909FF">
        <w:rPr>
          <w:rFonts w:ascii="Times New Roman" w:hAnsi="Times New Roman" w:cs="Times New Roman"/>
          <w:sz w:val="24"/>
          <w:szCs w:val="24"/>
        </w:rPr>
        <w:t xml:space="preserve"> Liquid Chromatography-Mass Spectrometry Mass Spectrometry (LC/MS/MS), Trinitrotoluene (TNT), Lower Limit of Quantitation (LLOQ), Method development, Validation</w:t>
      </w:r>
    </w:p>
    <w:p w14:paraId="620D1B35" w14:textId="643C4FA3" w:rsidR="00E13D37" w:rsidRDefault="00E13D37" w:rsidP="00C909FF">
      <w:pPr>
        <w:spacing w:line="240" w:lineRule="auto"/>
        <w:rPr>
          <w:rFonts w:ascii="Times New Roman" w:hAnsi="Times New Roman" w:cs="Times New Roman"/>
          <w:sz w:val="24"/>
          <w:szCs w:val="24"/>
        </w:rPr>
      </w:pPr>
    </w:p>
    <w:p w14:paraId="5CF60E82" w14:textId="77777777" w:rsidR="005A6128" w:rsidRDefault="005A6128" w:rsidP="00C909FF">
      <w:pPr>
        <w:spacing w:line="240" w:lineRule="auto"/>
        <w:rPr>
          <w:rFonts w:ascii="Times New Roman" w:hAnsi="Times New Roman" w:cs="Times New Roman"/>
          <w:b/>
          <w:sz w:val="24"/>
        </w:rPr>
      </w:pPr>
      <w:r>
        <w:rPr>
          <w:rFonts w:ascii="Times New Roman" w:hAnsi="Times New Roman" w:cs="Times New Roman"/>
          <w:b/>
          <w:sz w:val="24"/>
        </w:rPr>
        <w:t>Image:</w:t>
      </w:r>
    </w:p>
    <w:p w14:paraId="5B604C6C" w14:textId="4D1FD14B" w:rsidR="005A6128" w:rsidRDefault="005A6128" w:rsidP="00C909FF">
      <w:pPr>
        <w:spacing w:line="240" w:lineRule="auto"/>
        <w:rPr>
          <w:rFonts w:ascii="Times New Roman" w:hAnsi="Times New Roman" w:cs="Times New Roman"/>
          <w:b/>
          <w:sz w:val="24"/>
        </w:rPr>
      </w:pPr>
      <w:r>
        <w:rPr>
          <w:noProof/>
        </w:rPr>
        <w:drawing>
          <wp:inline distT="0" distB="0" distL="0" distR="0" wp14:anchorId="139A7285" wp14:editId="0276B350">
            <wp:extent cx="5715000" cy="2210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0" cy="2210435"/>
                    </a:xfrm>
                    <a:prstGeom prst="rect">
                      <a:avLst/>
                    </a:prstGeom>
                    <a:noFill/>
                    <a:ln>
                      <a:noFill/>
                    </a:ln>
                  </pic:spPr>
                </pic:pic>
              </a:graphicData>
            </a:graphic>
          </wp:inline>
        </w:drawing>
      </w:r>
    </w:p>
    <w:p w14:paraId="78C816F9" w14:textId="66977494" w:rsidR="00C62D81" w:rsidRDefault="00C62D81" w:rsidP="00C909FF">
      <w:pPr>
        <w:spacing w:line="240" w:lineRule="auto"/>
        <w:rPr>
          <w:rFonts w:ascii="Times New Roman" w:hAnsi="Times New Roman" w:cs="Times New Roman"/>
          <w:sz w:val="24"/>
          <w:szCs w:val="24"/>
        </w:rPr>
      </w:pPr>
      <w:r>
        <w:rPr>
          <w:rFonts w:ascii="Times New Roman" w:hAnsi="Times New Roman" w:cs="Times New Roman"/>
          <w:b/>
          <w:sz w:val="24"/>
        </w:rPr>
        <w:lastRenderedPageBreak/>
        <w:t>Biography.</w:t>
      </w:r>
    </w:p>
    <w:p w14:paraId="42232150" w14:textId="25CD47CA" w:rsidR="00B16863" w:rsidRDefault="008D757D" w:rsidP="008D757D">
      <w:pPr>
        <w:autoSpaceDE w:val="0"/>
        <w:autoSpaceDN w:val="0"/>
        <w:adjustRightInd w:val="0"/>
        <w:spacing w:after="0" w:line="240" w:lineRule="auto"/>
        <w:jc w:val="both"/>
        <w:rPr>
          <w:rFonts w:ascii="Times New Roman" w:hAnsi="Times New Roman" w:cs="Times New Roman"/>
          <w:sz w:val="24"/>
          <w:szCs w:val="24"/>
        </w:rPr>
      </w:pPr>
      <w:r w:rsidRPr="00C909FF">
        <w:rPr>
          <w:rFonts w:ascii="Times New Roman" w:hAnsi="Times New Roman" w:cs="Times New Roman"/>
          <w:b/>
          <w:bCs/>
          <w:sz w:val="24"/>
          <w:szCs w:val="24"/>
          <w:u w:val="single"/>
        </w:rPr>
        <w:t>Muhammad Aamir</w:t>
      </w:r>
      <w:r w:rsidR="00B16863" w:rsidRPr="00B16863">
        <w:rPr>
          <w:rFonts w:ascii="Times New Roman" w:hAnsi="Times New Roman" w:cs="Times New Roman"/>
          <w:sz w:val="24"/>
          <w:szCs w:val="24"/>
        </w:rPr>
        <w:t xml:space="preserve"> has presented </w:t>
      </w:r>
      <w:r w:rsidR="00B16863">
        <w:rPr>
          <w:rFonts w:ascii="Times New Roman" w:hAnsi="Times New Roman" w:cs="Times New Roman"/>
          <w:sz w:val="24"/>
          <w:szCs w:val="24"/>
        </w:rPr>
        <w:t xml:space="preserve">this </w:t>
      </w:r>
      <w:r w:rsidR="00B16863" w:rsidRPr="00B16863">
        <w:rPr>
          <w:rFonts w:ascii="Times New Roman" w:hAnsi="Times New Roman" w:cs="Times New Roman"/>
          <w:sz w:val="24"/>
          <w:szCs w:val="24"/>
        </w:rPr>
        <w:t>method for TNT screening in occupationally exposed ordnance factory workers.</w:t>
      </w:r>
      <w:r w:rsidR="00B16863" w:rsidRPr="00B16863">
        <w:t xml:space="preserve"> </w:t>
      </w:r>
      <w:r w:rsidR="00B16863" w:rsidRPr="00B16863">
        <w:rPr>
          <w:rFonts w:ascii="Times New Roman" w:hAnsi="Times New Roman" w:cs="Times New Roman"/>
          <w:sz w:val="24"/>
          <w:szCs w:val="24"/>
        </w:rPr>
        <w:t>In third-world countries like Pakistan, this issue has never been highlighted, nor is any detection facility available yet. Hence, a study was conducted to develop and validate a sensitive and specific LC/MS/MS method for the simultaneous quantitative determination of TNT and its four important metabolites, 4-ADNT, 2-ADNT, 2,4-DNT, and 2,6-DNT, for effective detection in urine samples.</w:t>
      </w:r>
    </w:p>
    <w:p w14:paraId="080D39EC" w14:textId="77777777" w:rsidR="00B16863" w:rsidRDefault="00B16863" w:rsidP="008D757D">
      <w:pPr>
        <w:autoSpaceDE w:val="0"/>
        <w:autoSpaceDN w:val="0"/>
        <w:adjustRightInd w:val="0"/>
        <w:spacing w:after="0" w:line="240" w:lineRule="auto"/>
        <w:jc w:val="both"/>
        <w:rPr>
          <w:rFonts w:ascii="Times New Roman" w:hAnsi="Times New Roman" w:cs="Times New Roman"/>
          <w:sz w:val="24"/>
          <w:szCs w:val="24"/>
        </w:rPr>
      </w:pPr>
    </w:p>
    <w:p w14:paraId="07527830" w14:textId="77777777" w:rsidR="00A42DE4" w:rsidRPr="00A42DE4" w:rsidRDefault="00A42DE4" w:rsidP="00A42DE4">
      <w:pPr>
        <w:autoSpaceDE w:val="0"/>
        <w:autoSpaceDN w:val="0"/>
        <w:adjustRightInd w:val="0"/>
        <w:spacing w:after="0" w:line="240" w:lineRule="auto"/>
        <w:jc w:val="both"/>
        <w:rPr>
          <w:rFonts w:ascii="Times New Roman" w:hAnsi="Times New Roman" w:cs="Times New Roman"/>
          <w:b/>
          <w:bCs/>
          <w:sz w:val="24"/>
          <w:szCs w:val="24"/>
        </w:rPr>
      </w:pPr>
      <w:r w:rsidRPr="00A42DE4">
        <w:rPr>
          <w:rFonts w:ascii="Times New Roman" w:hAnsi="Times New Roman" w:cs="Times New Roman"/>
          <w:b/>
          <w:bCs/>
          <w:sz w:val="24"/>
          <w:szCs w:val="24"/>
        </w:rPr>
        <w:t xml:space="preserve">Presenting author details </w:t>
      </w:r>
    </w:p>
    <w:p w14:paraId="01D96F48" w14:textId="727C5E16" w:rsidR="00A42DE4" w:rsidRPr="00A42DE4" w:rsidRDefault="00A42DE4" w:rsidP="00A42DE4">
      <w:pPr>
        <w:autoSpaceDE w:val="0"/>
        <w:autoSpaceDN w:val="0"/>
        <w:adjustRightInd w:val="0"/>
        <w:spacing w:after="0" w:line="240" w:lineRule="auto"/>
        <w:jc w:val="both"/>
        <w:rPr>
          <w:rFonts w:ascii="Times New Roman" w:hAnsi="Times New Roman" w:cs="Times New Roman"/>
          <w:sz w:val="24"/>
          <w:szCs w:val="24"/>
        </w:rPr>
      </w:pPr>
      <w:r w:rsidRPr="00A42DE4">
        <w:rPr>
          <w:rFonts w:ascii="Times New Roman" w:hAnsi="Times New Roman" w:cs="Times New Roman"/>
          <w:sz w:val="24"/>
          <w:szCs w:val="24"/>
        </w:rPr>
        <w:t xml:space="preserve">Full name: </w:t>
      </w:r>
      <w:r w:rsidRPr="00A42DE4">
        <w:rPr>
          <w:rFonts w:ascii="Times New Roman" w:hAnsi="Times New Roman" w:cs="Times New Roman"/>
          <w:b/>
          <w:bCs/>
          <w:sz w:val="24"/>
          <w:szCs w:val="24"/>
        </w:rPr>
        <w:t>Hafiza Monaza Batool</w:t>
      </w:r>
      <w:r>
        <w:rPr>
          <w:rFonts w:ascii="Times New Roman" w:hAnsi="Times New Roman" w:cs="Times New Roman"/>
          <w:b/>
          <w:bCs/>
          <w:sz w:val="24"/>
          <w:szCs w:val="24"/>
        </w:rPr>
        <w:t xml:space="preserve"> (</w:t>
      </w:r>
      <w:r w:rsidRPr="00C909FF">
        <w:rPr>
          <w:rFonts w:ascii="Times New Roman" w:hAnsi="Times New Roman" w:cs="Times New Roman"/>
          <w:sz w:val="24"/>
          <w:szCs w:val="24"/>
          <w:shd w:val="clear" w:color="auto" w:fill="FFFFFF"/>
        </w:rPr>
        <w:t>monazabatool786@gmail.com</w:t>
      </w:r>
      <w:r>
        <w:rPr>
          <w:rFonts w:ascii="Times New Roman" w:hAnsi="Times New Roman" w:cs="Times New Roman"/>
          <w:sz w:val="24"/>
          <w:szCs w:val="24"/>
        </w:rPr>
        <w:t>)</w:t>
      </w:r>
    </w:p>
    <w:p w14:paraId="0D8EC638" w14:textId="4D0DDBE9" w:rsidR="00A42DE4" w:rsidRPr="00A42DE4" w:rsidRDefault="00A42DE4" w:rsidP="00A42DE4">
      <w:pPr>
        <w:autoSpaceDE w:val="0"/>
        <w:autoSpaceDN w:val="0"/>
        <w:adjustRightInd w:val="0"/>
        <w:spacing w:after="0" w:line="240" w:lineRule="auto"/>
        <w:jc w:val="both"/>
        <w:rPr>
          <w:rFonts w:ascii="Times New Roman" w:hAnsi="Times New Roman" w:cs="Times New Roman"/>
          <w:sz w:val="24"/>
          <w:szCs w:val="24"/>
        </w:rPr>
      </w:pPr>
      <w:r w:rsidRPr="00A42DE4">
        <w:rPr>
          <w:rFonts w:ascii="Times New Roman" w:hAnsi="Times New Roman" w:cs="Times New Roman"/>
          <w:sz w:val="24"/>
          <w:szCs w:val="24"/>
        </w:rPr>
        <w:t>Contact number:</w:t>
      </w:r>
      <w:r>
        <w:rPr>
          <w:rFonts w:ascii="Times New Roman" w:hAnsi="Times New Roman" w:cs="Times New Roman"/>
          <w:sz w:val="24"/>
          <w:szCs w:val="24"/>
        </w:rPr>
        <w:t xml:space="preserve"> </w:t>
      </w:r>
      <w:r w:rsidRPr="00D44CB1">
        <w:rPr>
          <w:rFonts w:ascii="Times New Roman" w:hAnsi="Times New Roman" w:cs="Times New Roman"/>
          <w:b/>
          <w:bCs/>
          <w:sz w:val="24"/>
          <w:szCs w:val="24"/>
        </w:rPr>
        <w:t>+923005413073</w:t>
      </w:r>
    </w:p>
    <w:p w14:paraId="39571A81" w14:textId="564C888A" w:rsidR="00A42DE4" w:rsidRPr="00A42DE4" w:rsidRDefault="00A42DE4" w:rsidP="00A42DE4">
      <w:pPr>
        <w:autoSpaceDE w:val="0"/>
        <w:autoSpaceDN w:val="0"/>
        <w:adjustRightInd w:val="0"/>
        <w:spacing w:after="0" w:line="240" w:lineRule="auto"/>
        <w:jc w:val="both"/>
        <w:rPr>
          <w:rFonts w:ascii="Times New Roman" w:hAnsi="Times New Roman" w:cs="Times New Roman"/>
          <w:sz w:val="24"/>
          <w:szCs w:val="24"/>
        </w:rPr>
      </w:pPr>
      <w:r w:rsidRPr="00A42DE4">
        <w:rPr>
          <w:rFonts w:ascii="Times New Roman" w:hAnsi="Times New Roman" w:cs="Times New Roman"/>
          <w:sz w:val="24"/>
          <w:szCs w:val="24"/>
        </w:rPr>
        <w:t>Twitter account:</w:t>
      </w:r>
      <w:r>
        <w:rPr>
          <w:rFonts w:ascii="Times New Roman" w:hAnsi="Times New Roman" w:cs="Times New Roman"/>
          <w:sz w:val="24"/>
          <w:szCs w:val="24"/>
        </w:rPr>
        <w:t xml:space="preserve"> </w:t>
      </w:r>
    </w:p>
    <w:p w14:paraId="5DA08E45" w14:textId="511EF118" w:rsidR="00A42DE4" w:rsidRPr="00A42DE4" w:rsidRDefault="00A42DE4" w:rsidP="00A42DE4">
      <w:pPr>
        <w:autoSpaceDE w:val="0"/>
        <w:autoSpaceDN w:val="0"/>
        <w:adjustRightInd w:val="0"/>
        <w:spacing w:after="0" w:line="240" w:lineRule="auto"/>
        <w:jc w:val="both"/>
        <w:rPr>
          <w:rFonts w:ascii="Times New Roman" w:hAnsi="Times New Roman" w:cs="Times New Roman"/>
          <w:sz w:val="24"/>
          <w:szCs w:val="24"/>
        </w:rPr>
      </w:pPr>
      <w:r w:rsidRPr="00A42DE4">
        <w:rPr>
          <w:rFonts w:ascii="Times New Roman" w:hAnsi="Times New Roman" w:cs="Times New Roman"/>
          <w:sz w:val="24"/>
          <w:szCs w:val="24"/>
        </w:rPr>
        <w:t>Linked In account:</w:t>
      </w:r>
      <w:r>
        <w:rPr>
          <w:rFonts w:ascii="Times New Roman" w:hAnsi="Times New Roman" w:cs="Times New Roman"/>
          <w:sz w:val="24"/>
          <w:szCs w:val="24"/>
        </w:rPr>
        <w:t xml:space="preserve"> </w:t>
      </w:r>
    </w:p>
    <w:p w14:paraId="737ECAE0" w14:textId="393322B5" w:rsidR="00A42DE4" w:rsidRPr="00A42DE4" w:rsidRDefault="00A42DE4" w:rsidP="00A42DE4">
      <w:pPr>
        <w:autoSpaceDE w:val="0"/>
        <w:autoSpaceDN w:val="0"/>
        <w:adjustRightInd w:val="0"/>
        <w:spacing w:after="0" w:line="240" w:lineRule="auto"/>
        <w:jc w:val="both"/>
        <w:rPr>
          <w:rFonts w:ascii="Times New Roman" w:hAnsi="Times New Roman" w:cs="Times New Roman"/>
          <w:sz w:val="24"/>
          <w:szCs w:val="24"/>
        </w:rPr>
      </w:pPr>
      <w:r w:rsidRPr="00A42DE4">
        <w:rPr>
          <w:rFonts w:ascii="Times New Roman" w:hAnsi="Times New Roman" w:cs="Times New Roman"/>
          <w:sz w:val="24"/>
          <w:szCs w:val="24"/>
        </w:rPr>
        <w:t xml:space="preserve">Session name/ number: </w:t>
      </w:r>
      <w:r w:rsidR="00C52149" w:rsidRPr="00C52149">
        <w:rPr>
          <w:rFonts w:ascii="Times New Roman" w:hAnsi="Times New Roman" w:cs="Times New Roman"/>
          <w:b/>
          <w:bCs/>
          <w:sz w:val="24"/>
          <w:szCs w:val="24"/>
        </w:rPr>
        <w:t>https://www.linkedin.com/in/monaza-batool-2b0498131</w:t>
      </w:r>
    </w:p>
    <w:p w14:paraId="55EF8355" w14:textId="50B29EBA" w:rsidR="00BC6328" w:rsidRPr="00C909FF" w:rsidRDefault="00A42DE4" w:rsidP="00765E14">
      <w:pPr>
        <w:autoSpaceDE w:val="0"/>
        <w:autoSpaceDN w:val="0"/>
        <w:adjustRightInd w:val="0"/>
        <w:spacing w:after="0" w:line="240" w:lineRule="auto"/>
        <w:jc w:val="both"/>
        <w:rPr>
          <w:rFonts w:ascii="Times New Roman" w:hAnsi="Times New Roman" w:cs="Times New Roman"/>
          <w:sz w:val="24"/>
          <w:szCs w:val="24"/>
        </w:rPr>
      </w:pPr>
      <w:r w:rsidRPr="00A42DE4">
        <w:rPr>
          <w:rFonts w:ascii="Times New Roman" w:hAnsi="Times New Roman" w:cs="Times New Roman"/>
          <w:sz w:val="24"/>
          <w:szCs w:val="24"/>
        </w:rPr>
        <w:t xml:space="preserve">Category: </w:t>
      </w:r>
      <w:r w:rsidRPr="00D44CB1">
        <w:rPr>
          <w:rFonts w:ascii="Times New Roman" w:hAnsi="Times New Roman" w:cs="Times New Roman"/>
          <w:b/>
          <w:bCs/>
          <w:sz w:val="24"/>
          <w:szCs w:val="24"/>
        </w:rPr>
        <w:t>Oral presentation</w:t>
      </w:r>
    </w:p>
    <w:sectPr w:rsidR="00BC6328" w:rsidRPr="00C909FF" w:rsidSect="003049DA">
      <w:pgSz w:w="12240" w:h="15840"/>
      <w:pgMar w:top="1440" w:right="1620" w:bottom="1440"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I0MbQ0M7E0tQAiYyUdpeDU4uLM/DyQAuNaAIeTrpQsAAAA"/>
  </w:docVars>
  <w:rsids>
    <w:rsidRoot w:val="00D95ADD"/>
    <w:rsid w:val="0002270A"/>
    <w:rsid w:val="0013737A"/>
    <w:rsid w:val="00151BD0"/>
    <w:rsid w:val="00173518"/>
    <w:rsid w:val="001F5909"/>
    <w:rsid w:val="002C20A2"/>
    <w:rsid w:val="003049DA"/>
    <w:rsid w:val="003D774D"/>
    <w:rsid w:val="0046718F"/>
    <w:rsid w:val="004F4F17"/>
    <w:rsid w:val="005A6128"/>
    <w:rsid w:val="005B224E"/>
    <w:rsid w:val="005B4220"/>
    <w:rsid w:val="00700D1B"/>
    <w:rsid w:val="00765E14"/>
    <w:rsid w:val="0079711B"/>
    <w:rsid w:val="007D50DC"/>
    <w:rsid w:val="00854D95"/>
    <w:rsid w:val="008D757D"/>
    <w:rsid w:val="00926C96"/>
    <w:rsid w:val="009B5209"/>
    <w:rsid w:val="00A42DE4"/>
    <w:rsid w:val="00B16863"/>
    <w:rsid w:val="00BC6328"/>
    <w:rsid w:val="00BD0EB0"/>
    <w:rsid w:val="00BD5D91"/>
    <w:rsid w:val="00BF0198"/>
    <w:rsid w:val="00C013FA"/>
    <w:rsid w:val="00C053DD"/>
    <w:rsid w:val="00C52149"/>
    <w:rsid w:val="00C62D81"/>
    <w:rsid w:val="00C909FF"/>
    <w:rsid w:val="00D44CB1"/>
    <w:rsid w:val="00D728CF"/>
    <w:rsid w:val="00D95ADD"/>
    <w:rsid w:val="00DA6715"/>
    <w:rsid w:val="00E13D37"/>
    <w:rsid w:val="00EC4886"/>
    <w:rsid w:val="00F85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0F6BB"/>
  <w15:chartTrackingRefBased/>
  <w15:docId w15:val="{92B9CBA0-183C-4583-8E7F-406AD95EB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18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42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316028">
      <w:bodyDiv w:val="1"/>
      <w:marLeft w:val="0"/>
      <w:marRight w:val="0"/>
      <w:marTop w:val="0"/>
      <w:marBottom w:val="0"/>
      <w:divBdr>
        <w:top w:val="none" w:sz="0" w:space="0" w:color="auto"/>
        <w:left w:val="none" w:sz="0" w:space="0" w:color="auto"/>
        <w:bottom w:val="none" w:sz="0" w:space="0" w:color="auto"/>
        <w:right w:val="none" w:sz="0" w:space="0" w:color="auto"/>
      </w:divBdr>
    </w:div>
    <w:div w:id="494146789">
      <w:bodyDiv w:val="1"/>
      <w:marLeft w:val="0"/>
      <w:marRight w:val="0"/>
      <w:marTop w:val="0"/>
      <w:marBottom w:val="0"/>
      <w:divBdr>
        <w:top w:val="none" w:sz="0" w:space="0" w:color="auto"/>
        <w:left w:val="none" w:sz="0" w:space="0" w:color="auto"/>
        <w:bottom w:val="none" w:sz="0" w:space="0" w:color="auto"/>
        <w:right w:val="none" w:sz="0" w:space="0" w:color="auto"/>
      </w:divBdr>
    </w:div>
    <w:div w:id="6681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412</Words>
  <Characters>2350</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Hafiz Monaza Batool</dc:creator>
  <cp:keywords/>
  <dc:description/>
  <cp:lastModifiedBy>Hafiz Monaza Batool</cp:lastModifiedBy>
  <cp:revision>39</cp:revision>
  <dcterms:created xsi:type="dcterms:W3CDTF">2021-12-02T18:06:00Z</dcterms:created>
  <dcterms:modified xsi:type="dcterms:W3CDTF">2021-12-16T15:18:00Z</dcterms:modified>
</cp:coreProperties>
</file>