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3D3" w:rsidRDefault="001273D3" w:rsidP="001273D3">
      <w:pPr>
        <w:spacing w:line="360" w:lineRule="auto"/>
        <w:jc w:val="both"/>
      </w:pPr>
      <w:r>
        <w:rPr>
          <w:rFonts w:ascii="Arial" w:hAnsi="Arial" w:cs="Arial"/>
          <w:sz w:val="24"/>
          <w:szCs w:val="24"/>
        </w:rPr>
        <w:t>It’s a review article based on the nutritional status of tribal people, their deficiencies and a method to combat the same. D</w:t>
      </w:r>
      <w:r w:rsidRPr="00DF128C">
        <w:rPr>
          <w:rFonts w:ascii="Arial" w:hAnsi="Arial" w:cs="Arial"/>
          <w:sz w:val="24"/>
          <w:szCs w:val="24"/>
        </w:rPr>
        <w:t>eveloping countries</w:t>
      </w:r>
      <w:r>
        <w:rPr>
          <w:rFonts w:ascii="Arial" w:hAnsi="Arial" w:cs="Arial"/>
          <w:sz w:val="24"/>
          <w:szCs w:val="24"/>
        </w:rPr>
        <w:t xml:space="preserve"> face a major threat, malnutrition among the population</w:t>
      </w:r>
      <w:r w:rsidRPr="00DF128C">
        <w:rPr>
          <w:rFonts w:ascii="Arial" w:hAnsi="Arial" w:cs="Arial"/>
          <w:sz w:val="24"/>
          <w:szCs w:val="24"/>
        </w:rPr>
        <w:t xml:space="preserve">. It accounts for an estimated one-third of childhood deaths. Most adults too are deprived of a balanced diet with a good variety of food items. Consuming only limited food items results in </w:t>
      </w:r>
      <w:hyperlink r:id="rId4" w:history="1">
        <w:r w:rsidRPr="00DF128C">
          <w:rPr>
            <w:rStyle w:val="Hyperlink"/>
            <w:rFonts w:ascii="Arial" w:hAnsi="Arial" w:cs="Arial"/>
            <w:color w:val="auto"/>
            <w:sz w:val="24"/>
            <w:szCs w:val="24"/>
            <w:u w:val="none"/>
          </w:rPr>
          <w:t>dietary deficiencies</w:t>
        </w:r>
      </w:hyperlink>
      <w:r w:rsidRPr="00DF128C">
        <w:rPr>
          <w:rFonts w:ascii="Arial" w:hAnsi="Arial" w:cs="Arial"/>
          <w:sz w:val="24"/>
          <w:szCs w:val="24"/>
        </w:rPr>
        <w:t xml:space="preserve"> in the long run.</w:t>
      </w:r>
      <w:r>
        <w:rPr>
          <w:rFonts w:ascii="Arial" w:hAnsi="Arial" w:cs="Arial"/>
          <w:sz w:val="24"/>
          <w:szCs w:val="24"/>
        </w:rPr>
        <w:t xml:space="preserve"> </w:t>
      </w:r>
      <w:r w:rsidRPr="00DF128C">
        <w:rPr>
          <w:rFonts w:ascii="Arial" w:hAnsi="Arial" w:cs="Arial"/>
          <w:sz w:val="24"/>
          <w:szCs w:val="24"/>
        </w:rPr>
        <w:t>Tribal communities in India are economically and socially backward and mostly live in forests and hilly terrains isolated from the other elite communities. They have their own way of living and different socio-cultural and eco-geographical settings. Lack of proper education and health facilities, faulty feeding habits, certain irrational belief systems and special tribal chores are likely to aggravate their health and nutritional status</w:t>
      </w:r>
      <w:r>
        <w:rPr>
          <w:rFonts w:ascii="Arial" w:hAnsi="Arial" w:cs="Arial"/>
          <w:sz w:val="24"/>
          <w:szCs w:val="24"/>
        </w:rPr>
        <w:t xml:space="preserve">. </w:t>
      </w:r>
      <w:r w:rsidRPr="00DF128C">
        <w:rPr>
          <w:rFonts w:ascii="Arial" w:eastAsia="Times New Roman" w:hAnsi="Arial" w:cs="Arial"/>
          <w:bCs/>
          <w:sz w:val="24"/>
          <w:szCs w:val="24"/>
        </w:rPr>
        <w:t>Food fortification</w:t>
      </w:r>
      <w:r w:rsidRPr="00DF128C">
        <w:rPr>
          <w:rFonts w:ascii="Arial" w:eastAsia="Times New Roman" w:hAnsi="Arial" w:cs="Arial"/>
          <w:sz w:val="24"/>
          <w:szCs w:val="24"/>
        </w:rPr>
        <w:t xml:space="preserve"> or </w:t>
      </w:r>
      <w:r w:rsidRPr="00DF128C">
        <w:rPr>
          <w:rFonts w:ascii="Arial" w:eastAsia="Times New Roman" w:hAnsi="Arial" w:cs="Arial"/>
          <w:bCs/>
          <w:sz w:val="24"/>
          <w:szCs w:val="24"/>
        </w:rPr>
        <w:t>enrichment</w:t>
      </w:r>
      <w:r w:rsidRPr="00DF128C">
        <w:rPr>
          <w:rFonts w:ascii="Arial" w:eastAsia="Times New Roman" w:hAnsi="Arial" w:cs="Arial"/>
          <w:sz w:val="24"/>
          <w:szCs w:val="24"/>
        </w:rPr>
        <w:t xml:space="preserve"> is the </w:t>
      </w:r>
      <w:r>
        <w:rPr>
          <w:rFonts w:ascii="Arial" w:eastAsia="Times New Roman" w:hAnsi="Arial" w:cs="Arial"/>
          <w:sz w:val="24"/>
          <w:szCs w:val="24"/>
        </w:rPr>
        <w:t>step taken for</w:t>
      </w:r>
      <w:r w:rsidRPr="00DF128C">
        <w:rPr>
          <w:rFonts w:ascii="Arial" w:eastAsia="Times New Roman" w:hAnsi="Arial" w:cs="Arial"/>
          <w:sz w:val="24"/>
          <w:szCs w:val="24"/>
        </w:rPr>
        <w:t xml:space="preserve"> adding </w:t>
      </w:r>
      <w:hyperlink r:id="rId5" w:tooltip="Micronutrient" w:history="1">
        <w:r w:rsidRPr="00DF128C">
          <w:rPr>
            <w:rFonts w:ascii="Arial" w:eastAsia="Times New Roman" w:hAnsi="Arial" w:cs="Arial"/>
            <w:sz w:val="24"/>
            <w:szCs w:val="24"/>
          </w:rPr>
          <w:t>micronutrients</w:t>
        </w:r>
      </w:hyperlink>
      <w:r w:rsidRPr="00DF128C">
        <w:rPr>
          <w:rFonts w:ascii="Arial" w:eastAsia="Times New Roman" w:hAnsi="Arial" w:cs="Arial"/>
          <w:sz w:val="24"/>
          <w:szCs w:val="24"/>
        </w:rPr>
        <w:t xml:space="preserve"> (essential trace elements and vitamins) to </w:t>
      </w:r>
      <w:hyperlink r:id="rId6" w:tooltip="Food" w:history="1">
        <w:r w:rsidRPr="00DF128C">
          <w:rPr>
            <w:rFonts w:ascii="Arial" w:eastAsia="Times New Roman" w:hAnsi="Arial" w:cs="Arial"/>
            <w:sz w:val="24"/>
            <w:szCs w:val="24"/>
          </w:rPr>
          <w:t>food</w:t>
        </w:r>
      </w:hyperlink>
      <w:r w:rsidRPr="00DF128C">
        <w:rPr>
          <w:rFonts w:ascii="Arial" w:eastAsia="Times New Roman" w:hAnsi="Arial" w:cs="Arial"/>
          <w:sz w:val="24"/>
          <w:szCs w:val="24"/>
        </w:rPr>
        <w:t xml:space="preserve">. </w:t>
      </w:r>
      <w:hyperlink r:id="rId7" w:tooltip="Staple food" w:history="1">
        <w:r w:rsidRPr="00DF128C">
          <w:rPr>
            <w:rFonts w:ascii="Arial" w:eastAsia="Times New Roman" w:hAnsi="Arial" w:cs="Arial"/>
            <w:sz w:val="24"/>
            <w:szCs w:val="24"/>
          </w:rPr>
          <w:t>Staple foods</w:t>
        </w:r>
      </w:hyperlink>
      <w:r w:rsidRPr="00DF128C">
        <w:rPr>
          <w:rFonts w:ascii="Arial" w:eastAsia="Times New Roman" w:hAnsi="Arial" w:cs="Arial"/>
          <w:sz w:val="24"/>
          <w:szCs w:val="24"/>
        </w:rPr>
        <w:t xml:space="preserve"> of a region can lack particular nutrients due to the soil of the region or from inherent inadequacy of a normal diet. Addition of micronutrients to staples and condiments can prevent large-scale </w:t>
      </w:r>
      <w:hyperlink r:id="rId8" w:tooltip="Deficiency disease" w:history="1">
        <w:r w:rsidRPr="00DF128C">
          <w:rPr>
            <w:rFonts w:ascii="Arial" w:eastAsia="Times New Roman" w:hAnsi="Arial" w:cs="Arial"/>
            <w:sz w:val="24"/>
            <w:szCs w:val="24"/>
          </w:rPr>
          <w:t>deficiency diseases</w:t>
        </w:r>
      </w:hyperlink>
      <w:r w:rsidRPr="00DF128C">
        <w:rPr>
          <w:rFonts w:ascii="Arial" w:eastAsia="Times New Roman" w:hAnsi="Arial" w:cs="Arial"/>
          <w:sz w:val="24"/>
          <w:szCs w:val="24"/>
        </w:rPr>
        <w:t xml:space="preserve"> in these cases</w:t>
      </w:r>
      <w:r>
        <w:rPr>
          <w:rFonts w:ascii="Arial" w:eastAsia="Times New Roman" w:hAnsi="Arial" w:cs="Arial"/>
          <w:sz w:val="24"/>
          <w:szCs w:val="24"/>
        </w:rPr>
        <w:t>.</w:t>
      </w:r>
    </w:p>
    <w:sectPr w:rsidR="001273D3" w:rsidSect="009130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73D3"/>
    <w:rsid w:val="001273D3"/>
    <w:rsid w:val="009130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3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73D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eficiency_disease" TargetMode="External"/><Relationship Id="rId3" Type="http://schemas.openxmlformats.org/officeDocument/2006/relationships/webSettings" Target="webSettings.xml"/><Relationship Id="rId7" Type="http://schemas.openxmlformats.org/officeDocument/2006/relationships/hyperlink" Target="https://en.wikipedia.org/wiki/Staple_foo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Food" TargetMode="External"/><Relationship Id="rId5" Type="http://schemas.openxmlformats.org/officeDocument/2006/relationships/hyperlink" Target="https://en.wikipedia.org/wiki/Micronutrient" TargetMode="External"/><Relationship Id="rId10" Type="http://schemas.openxmlformats.org/officeDocument/2006/relationships/theme" Target="theme/theme1.xml"/><Relationship Id="rId4" Type="http://schemas.openxmlformats.org/officeDocument/2006/relationships/hyperlink" Target="http://food.ndtv.com/health/anemia-in-indian-women-causes-symptoms-and-steps-for-prevention-141015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1</cp:revision>
  <dcterms:created xsi:type="dcterms:W3CDTF">2017-12-05T05:44:00Z</dcterms:created>
  <dcterms:modified xsi:type="dcterms:W3CDTF">2017-12-05T05:51:00Z</dcterms:modified>
</cp:coreProperties>
</file>