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F6E6C" w14:textId="7F75F3C4" w:rsidR="006A2B7A" w:rsidRDefault="006A2B7A" w:rsidP="00E30F7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Toc28985964"/>
      <w:r w:rsidRPr="00FC47DF">
        <w:rPr>
          <w:rFonts w:ascii="Arial" w:hAnsi="Arial" w:cs="Arial"/>
          <w:b/>
          <w:sz w:val="24"/>
          <w:szCs w:val="24"/>
        </w:rPr>
        <w:t>LOW WEALTH QUANTILE PREDISPOSE UNDER FIVE CHILDREN TO STUNTING IN ETHIOPIA: META-ANALYSIS</w:t>
      </w:r>
    </w:p>
    <w:p w14:paraId="6B1599E4" w14:textId="77777777" w:rsidR="00E30F7A" w:rsidRPr="00FC47DF" w:rsidRDefault="00E30F7A" w:rsidP="00E30F7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6FEEA70" w14:textId="6AE46158" w:rsidR="00A57FD4" w:rsidRPr="00FC47DF" w:rsidRDefault="00C07743" w:rsidP="00E30F7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11100">
        <w:rPr>
          <w:rFonts w:ascii="Arial" w:hAnsi="Arial" w:cs="Arial"/>
          <w:sz w:val="24"/>
          <w:szCs w:val="24"/>
          <w:u w:val="single"/>
        </w:rPr>
        <w:t>Mesfin  Wudu(</w:t>
      </w:r>
      <w:r w:rsidR="006A2B7A" w:rsidRPr="00FC47DF">
        <w:rPr>
          <w:rFonts w:ascii="Arial" w:eastAsiaTheme="majorEastAsia" w:hAnsi="Arial" w:cs="Arial"/>
          <w:bCs/>
          <w:sz w:val="24"/>
          <w:szCs w:val="24"/>
        </w:rPr>
        <w:t>Department of nursing, college of health science, Woldia university</w:t>
      </w:r>
      <w:r w:rsidRPr="00FC47DF">
        <w:rPr>
          <w:rFonts w:ascii="Arial" w:hAnsi="Arial" w:cs="Arial"/>
          <w:sz w:val="24"/>
          <w:szCs w:val="24"/>
        </w:rPr>
        <w:t>)</w:t>
      </w:r>
      <w:r w:rsidR="00E30F7A">
        <w:rPr>
          <w:rFonts w:ascii="Arial" w:hAnsi="Arial" w:cs="Arial"/>
          <w:sz w:val="24"/>
          <w:szCs w:val="24"/>
        </w:rPr>
        <w:t xml:space="preserve">, </w:t>
      </w:r>
      <w:r w:rsidR="00A57FD4" w:rsidRPr="00A11100">
        <w:rPr>
          <w:rFonts w:ascii="Arial" w:hAnsi="Arial" w:cs="Arial"/>
          <w:sz w:val="24"/>
          <w:szCs w:val="24"/>
          <w:u w:val="single"/>
        </w:rPr>
        <w:t>Aschalew  Afewrok</w:t>
      </w:r>
      <w:r w:rsidRPr="00A11100">
        <w:rPr>
          <w:rFonts w:ascii="Arial" w:hAnsi="Arial" w:cs="Arial"/>
          <w:sz w:val="24"/>
          <w:szCs w:val="24"/>
          <w:u w:val="single"/>
        </w:rPr>
        <w:t>(</w:t>
      </w:r>
      <w:r w:rsidR="006A2B7A" w:rsidRPr="00FC47DF">
        <w:rPr>
          <w:rFonts w:ascii="Arial" w:eastAsiaTheme="majorEastAsia" w:hAnsi="Arial" w:cs="Arial"/>
          <w:bCs/>
          <w:sz w:val="24"/>
          <w:szCs w:val="24"/>
        </w:rPr>
        <w:t>Department of public health, college of health science, GAMBY university, Bahir Dar</w:t>
      </w:r>
      <w:r w:rsidR="00A57FD4" w:rsidRPr="00FC47DF">
        <w:rPr>
          <w:rFonts w:ascii="Arial" w:hAnsi="Arial" w:cs="Arial"/>
          <w:sz w:val="24"/>
          <w:szCs w:val="24"/>
        </w:rPr>
        <w:t>),</w:t>
      </w:r>
      <w:r w:rsidR="00E30F7A">
        <w:rPr>
          <w:rFonts w:ascii="Arial" w:hAnsi="Arial" w:cs="Arial"/>
          <w:sz w:val="24"/>
          <w:szCs w:val="24"/>
        </w:rPr>
        <w:t xml:space="preserve"> </w:t>
      </w:r>
      <w:r w:rsidR="00A57FD4" w:rsidRPr="00FC47DF">
        <w:rPr>
          <w:rFonts w:ascii="Arial" w:hAnsi="Arial" w:cs="Arial"/>
          <w:sz w:val="24"/>
          <w:szCs w:val="24"/>
        </w:rPr>
        <w:t>Alemayehu Digssie (</w:t>
      </w:r>
      <w:r w:rsidR="006A2B7A" w:rsidRPr="00FC47DF">
        <w:rPr>
          <w:rFonts w:ascii="Arial" w:eastAsiaTheme="majorEastAsia" w:hAnsi="Arial" w:cs="Arial"/>
          <w:bCs/>
          <w:sz w:val="24"/>
          <w:szCs w:val="24"/>
        </w:rPr>
        <w:t>Department of public health, college of health science, Debre Tabore University</w:t>
      </w:r>
      <w:r w:rsidR="00A57FD4" w:rsidRPr="00FC47DF">
        <w:rPr>
          <w:rFonts w:ascii="Arial" w:hAnsi="Arial" w:cs="Arial"/>
          <w:sz w:val="24"/>
          <w:szCs w:val="24"/>
        </w:rPr>
        <w:t>), Mulugeta Tadele (</w:t>
      </w:r>
      <w:r w:rsidR="006A2B7A" w:rsidRPr="00FC47DF">
        <w:rPr>
          <w:rFonts w:ascii="Arial" w:eastAsiaTheme="majorEastAsia" w:hAnsi="Arial" w:cs="Arial"/>
          <w:bCs/>
          <w:sz w:val="24"/>
          <w:szCs w:val="24"/>
        </w:rPr>
        <w:t>Department of public health, college of health science, Debre Markos University</w:t>
      </w:r>
      <w:r w:rsidR="00A57FD4" w:rsidRPr="00FC47DF">
        <w:rPr>
          <w:rFonts w:ascii="Arial" w:hAnsi="Arial" w:cs="Arial"/>
          <w:sz w:val="24"/>
          <w:szCs w:val="24"/>
        </w:rPr>
        <w:t>), Netsanet  Fentahun (</w:t>
      </w:r>
      <w:r w:rsidR="006A2B7A" w:rsidRPr="00FC47DF">
        <w:rPr>
          <w:rFonts w:ascii="Arial" w:eastAsiaTheme="majorEastAsia" w:hAnsi="Arial" w:cs="Arial"/>
          <w:bCs/>
          <w:sz w:val="24"/>
          <w:szCs w:val="24"/>
        </w:rPr>
        <w:t>Department of public health, college of health science, Bahir Dar University</w:t>
      </w:r>
      <w:r w:rsidR="00A57FD4" w:rsidRPr="00FC47DF">
        <w:rPr>
          <w:rFonts w:ascii="Arial" w:hAnsi="Arial" w:cs="Arial"/>
          <w:sz w:val="24"/>
          <w:szCs w:val="24"/>
        </w:rPr>
        <w:t>), Taddesse Awoke (</w:t>
      </w:r>
      <w:r w:rsidR="006A2B7A" w:rsidRPr="00FC47DF">
        <w:rPr>
          <w:rFonts w:ascii="Arial" w:eastAsiaTheme="majorEastAsia" w:hAnsi="Arial" w:cs="Arial"/>
          <w:bCs/>
          <w:sz w:val="24"/>
          <w:szCs w:val="24"/>
        </w:rPr>
        <w:t>Department of public health, college of health science, University of Gonder</w:t>
      </w:r>
      <w:r w:rsidR="00A57FD4" w:rsidRPr="00FC47DF">
        <w:rPr>
          <w:rFonts w:ascii="Arial" w:hAnsi="Arial" w:cs="Arial"/>
          <w:sz w:val="24"/>
          <w:szCs w:val="24"/>
        </w:rPr>
        <w:t>)</w:t>
      </w:r>
    </w:p>
    <w:p w14:paraId="377BB7D0" w14:textId="68BFA0F6" w:rsidR="00A57FD4" w:rsidRPr="00FC47DF" w:rsidRDefault="00A57FD4" w:rsidP="00FC47D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C47DF">
        <w:rPr>
          <w:rFonts w:ascii="Arial" w:hAnsi="Arial" w:cs="Arial"/>
          <w:b/>
          <w:bCs/>
          <w:sz w:val="24"/>
          <w:szCs w:val="24"/>
        </w:rPr>
        <w:t>Abstract</w:t>
      </w:r>
      <w:bookmarkEnd w:id="0"/>
    </w:p>
    <w:p w14:paraId="204781D4" w14:textId="48DF4B30" w:rsidR="00A57FD4" w:rsidRPr="00FC47DF" w:rsidRDefault="00A57FD4" w:rsidP="00FC47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47DF">
        <w:rPr>
          <w:rFonts w:ascii="Arial" w:hAnsi="Arial" w:cs="Arial"/>
          <w:b/>
          <w:sz w:val="24"/>
          <w:szCs w:val="24"/>
        </w:rPr>
        <w:t>Background:</w:t>
      </w:r>
      <w:r w:rsidRPr="00FC47DF">
        <w:rPr>
          <w:rFonts w:ascii="Arial" w:hAnsi="Arial" w:cs="Arial"/>
          <w:sz w:val="24"/>
          <w:szCs w:val="24"/>
        </w:rPr>
        <w:t xml:space="preserve"> Stunting remains a public health problem in Ethiopia. </w:t>
      </w:r>
      <w:r w:rsidRPr="00FC47DF">
        <w:rPr>
          <w:rStyle w:val="fontstyle01"/>
          <w:rFonts w:ascii="Arial" w:hAnsi="Arial" w:cs="Arial"/>
          <w:sz w:val="24"/>
          <w:szCs w:val="24"/>
        </w:rPr>
        <w:t xml:space="preserve">Health care decisions should be informed by the best available evidences. Individual studies which may be biased, methodologically flawed, time and context dependent, might be misinterpreted, and misrepresented. </w:t>
      </w:r>
      <w:r w:rsidRPr="00FC47DF">
        <w:rPr>
          <w:rFonts w:ascii="Arial" w:hAnsi="Arial" w:cs="Arial"/>
          <w:sz w:val="24"/>
          <w:szCs w:val="24"/>
        </w:rPr>
        <w:t xml:space="preserve">Rather, </w:t>
      </w:r>
      <w:r w:rsidRPr="00FC47DF">
        <w:rPr>
          <w:rStyle w:val="fontstyle01"/>
          <w:rFonts w:ascii="Arial" w:hAnsi="Arial" w:cs="Arial"/>
          <w:sz w:val="24"/>
          <w:szCs w:val="24"/>
        </w:rPr>
        <w:t>systematic review could give a reliable and precise estimate than individual stud</w:t>
      </w:r>
      <w:r w:rsidR="00E30F7A">
        <w:rPr>
          <w:rStyle w:val="fontstyle01"/>
          <w:rFonts w:ascii="Arial" w:hAnsi="Arial" w:cs="Arial"/>
          <w:sz w:val="24"/>
          <w:szCs w:val="24"/>
        </w:rPr>
        <w:t>ies</w:t>
      </w:r>
      <w:r w:rsidRPr="00FC47DF">
        <w:rPr>
          <w:rStyle w:val="fontstyle01"/>
          <w:rFonts w:ascii="Arial" w:hAnsi="Arial" w:cs="Arial"/>
          <w:sz w:val="24"/>
          <w:szCs w:val="24"/>
        </w:rPr>
        <w:t xml:space="preserve"> provided separately.</w:t>
      </w:r>
      <w:r w:rsidRPr="00FC47DF">
        <w:rPr>
          <w:rFonts w:ascii="Arial" w:hAnsi="Arial" w:cs="Arial"/>
          <w:sz w:val="24"/>
          <w:szCs w:val="24"/>
        </w:rPr>
        <w:t xml:space="preserve"> </w:t>
      </w:r>
      <w:r w:rsidRPr="00FC47DF">
        <w:rPr>
          <w:rFonts w:ascii="Arial" w:hAnsi="Arial" w:cs="Arial"/>
          <w:b/>
          <w:bCs/>
          <w:sz w:val="24"/>
          <w:szCs w:val="24"/>
        </w:rPr>
        <w:t>Objectives:</w:t>
      </w:r>
      <w:r w:rsidRPr="00FC47DF">
        <w:rPr>
          <w:rFonts w:ascii="Arial" w:hAnsi="Arial" w:cs="Arial"/>
          <w:sz w:val="24"/>
          <w:szCs w:val="24"/>
        </w:rPr>
        <w:t xml:space="preserve"> Thus, determining the pooled magnitude of stunting and </w:t>
      </w:r>
      <w:r w:rsidR="00E30F7A">
        <w:rPr>
          <w:rFonts w:ascii="Arial" w:hAnsi="Arial" w:cs="Arial"/>
          <w:sz w:val="24"/>
          <w:szCs w:val="24"/>
        </w:rPr>
        <w:t xml:space="preserve">assess </w:t>
      </w:r>
      <w:r w:rsidRPr="00FC47DF">
        <w:rPr>
          <w:rFonts w:ascii="Arial" w:hAnsi="Arial" w:cs="Arial"/>
          <w:sz w:val="24"/>
          <w:szCs w:val="24"/>
        </w:rPr>
        <w:t xml:space="preserve">its association with wealth index could provide </w:t>
      </w:r>
      <w:r w:rsidR="00E30F7A">
        <w:rPr>
          <w:rStyle w:val="fontstyle01"/>
          <w:rFonts w:ascii="Arial" w:hAnsi="Arial" w:cs="Arial"/>
          <w:sz w:val="24"/>
          <w:szCs w:val="24"/>
        </w:rPr>
        <w:t xml:space="preserve">significant </w:t>
      </w:r>
      <w:r w:rsidRPr="00FC47DF">
        <w:rPr>
          <w:rStyle w:val="fontstyle01"/>
          <w:rFonts w:ascii="Arial" w:hAnsi="Arial" w:cs="Arial"/>
          <w:sz w:val="24"/>
          <w:szCs w:val="24"/>
        </w:rPr>
        <w:t>evidence</w:t>
      </w:r>
      <w:r w:rsidRPr="00FC47DF">
        <w:rPr>
          <w:rFonts w:ascii="Arial" w:hAnsi="Arial" w:cs="Arial"/>
          <w:sz w:val="24"/>
          <w:szCs w:val="24"/>
        </w:rPr>
        <w:t xml:space="preserve"> to formulate appropriate nutritional intervention</w:t>
      </w:r>
      <w:r w:rsidR="00E30F7A">
        <w:rPr>
          <w:rFonts w:ascii="Arial" w:hAnsi="Arial" w:cs="Arial"/>
          <w:sz w:val="24"/>
          <w:szCs w:val="24"/>
        </w:rPr>
        <w:t>s</w:t>
      </w:r>
      <w:r w:rsidRPr="00FC47DF">
        <w:rPr>
          <w:rFonts w:ascii="Arial" w:hAnsi="Arial" w:cs="Arial"/>
          <w:sz w:val="24"/>
          <w:szCs w:val="24"/>
        </w:rPr>
        <w:t xml:space="preserve">. </w:t>
      </w:r>
      <w:r w:rsidRPr="00FC47DF">
        <w:rPr>
          <w:rFonts w:ascii="Arial" w:hAnsi="Arial" w:cs="Arial"/>
          <w:b/>
          <w:sz w:val="24"/>
          <w:szCs w:val="24"/>
        </w:rPr>
        <w:t xml:space="preserve">Methods: </w:t>
      </w:r>
      <w:r w:rsidRPr="00FC47DF">
        <w:rPr>
          <w:rFonts w:ascii="Arial" w:hAnsi="Arial" w:cs="Arial"/>
          <w:bCs/>
          <w:sz w:val="24"/>
          <w:szCs w:val="24"/>
        </w:rPr>
        <w:t>O</w:t>
      </w:r>
      <w:r w:rsidRPr="00FC47DF">
        <w:rPr>
          <w:rFonts w:ascii="Arial" w:hAnsi="Arial" w:cs="Arial"/>
          <w:sz w:val="24"/>
          <w:szCs w:val="24"/>
        </w:rPr>
        <w:t xml:space="preserve">bservational studies </w:t>
      </w:r>
      <w:r w:rsidRPr="00FC47DF">
        <w:rPr>
          <w:rFonts w:ascii="Arial" w:hAnsi="Arial" w:cs="Arial"/>
          <w:bCs/>
          <w:sz w:val="24"/>
          <w:szCs w:val="24"/>
        </w:rPr>
        <w:t>published in English language from January 20, 2010 to November 15, 2019</w:t>
      </w:r>
      <w:r w:rsidRPr="00FC47DF">
        <w:rPr>
          <w:rFonts w:ascii="Arial" w:hAnsi="Arial" w:cs="Arial"/>
          <w:bCs/>
          <w:sz w:val="24"/>
          <w:szCs w:val="24"/>
        </w:rPr>
        <w:t xml:space="preserve"> </w:t>
      </w:r>
      <w:r w:rsidRPr="00FC47DF">
        <w:rPr>
          <w:rFonts w:ascii="Arial" w:hAnsi="Arial" w:cs="Arial"/>
          <w:bCs/>
          <w:sz w:val="24"/>
          <w:szCs w:val="24"/>
        </w:rPr>
        <w:t>were included. Databases including PubMed</w:t>
      </w:r>
      <w:r w:rsidRPr="00FC47DF">
        <w:rPr>
          <w:rFonts w:ascii="Arial" w:hAnsi="Arial" w:cs="Arial"/>
          <w:sz w:val="24"/>
          <w:szCs w:val="24"/>
        </w:rPr>
        <w:t xml:space="preserve">/Medline, Scopus, Google scholar, HINARI, and gray literatures were </w:t>
      </w:r>
      <w:r w:rsidRPr="00FC47DF">
        <w:rPr>
          <w:rFonts w:ascii="Arial" w:hAnsi="Arial" w:cs="Arial"/>
          <w:sz w:val="24"/>
          <w:szCs w:val="24"/>
        </w:rPr>
        <w:t>examined</w:t>
      </w:r>
      <w:r w:rsidRPr="00FC47DF">
        <w:rPr>
          <w:rFonts w:ascii="Arial" w:hAnsi="Arial" w:cs="Arial"/>
          <w:sz w:val="24"/>
          <w:szCs w:val="24"/>
        </w:rPr>
        <w:t>. The retrieved articles were screened and selected by tittles, abstracts, and through full text reading. T</w:t>
      </w:r>
      <w:r w:rsidRPr="00FC47DF">
        <w:rPr>
          <w:rFonts w:ascii="Arial" w:hAnsi="Arial" w:cs="Arial"/>
          <w:color w:val="000000"/>
          <w:sz w:val="24"/>
          <w:szCs w:val="24"/>
        </w:rPr>
        <w:t xml:space="preserve">he qualities of the eligible studies were assessed by </w:t>
      </w:r>
      <w:r w:rsidRPr="00FC47DF">
        <w:rPr>
          <w:rFonts w:ascii="Arial" w:hAnsi="Arial" w:cs="Arial"/>
          <w:bCs/>
          <w:color w:val="000000"/>
          <w:sz w:val="24"/>
          <w:szCs w:val="24"/>
        </w:rPr>
        <w:t xml:space="preserve">three </w:t>
      </w:r>
      <w:r w:rsidRPr="00FC47DF">
        <w:rPr>
          <w:rFonts w:ascii="Arial" w:hAnsi="Arial" w:cs="Arial"/>
          <w:color w:val="000000"/>
          <w:sz w:val="24"/>
          <w:szCs w:val="24"/>
        </w:rPr>
        <w:t>independent reviewers using JBI and STROBE critical appraisal checklist and their quality were graded as high quality/low risk and low quality/high risk. F</w:t>
      </w:r>
      <w:r w:rsidRPr="00FC47DF">
        <w:rPr>
          <w:rFonts w:ascii="Arial" w:hAnsi="Arial" w:cs="Arial"/>
          <w:sz w:val="24"/>
          <w:szCs w:val="24"/>
        </w:rPr>
        <w:t>unnel plot, Egger test, and Begg’s test were used to assess publication bias. Similarly, I</w:t>
      </w:r>
      <w:r w:rsidRPr="00FC47DF">
        <w:rPr>
          <w:rFonts w:ascii="Arial" w:hAnsi="Arial" w:cs="Arial"/>
          <w:sz w:val="24"/>
          <w:szCs w:val="24"/>
          <w:vertAlign w:val="superscript"/>
        </w:rPr>
        <w:t>2</w:t>
      </w:r>
      <w:r w:rsidRPr="00FC47DF">
        <w:rPr>
          <w:rFonts w:ascii="Arial" w:hAnsi="Arial" w:cs="Arial"/>
          <w:sz w:val="24"/>
          <w:szCs w:val="24"/>
        </w:rPr>
        <w:t xml:space="preserve">, forest plot, and Cochrane’s Q square statistics were </w:t>
      </w:r>
      <w:r w:rsidR="00E30F7A">
        <w:rPr>
          <w:rFonts w:ascii="Arial" w:hAnsi="Arial" w:cs="Arial"/>
          <w:sz w:val="24"/>
          <w:szCs w:val="24"/>
        </w:rPr>
        <w:t>considered</w:t>
      </w:r>
      <w:r w:rsidRPr="00FC47DF">
        <w:rPr>
          <w:rFonts w:ascii="Arial" w:hAnsi="Arial" w:cs="Arial"/>
          <w:sz w:val="24"/>
          <w:szCs w:val="24"/>
        </w:rPr>
        <w:t xml:space="preserve"> to deal with heterogeneity of studies included. </w:t>
      </w:r>
    </w:p>
    <w:p w14:paraId="724C5EA1" w14:textId="4FD20B8A" w:rsidR="00A57FD4" w:rsidRPr="00FC47DF" w:rsidRDefault="00A57FD4" w:rsidP="00FC47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47DF">
        <w:rPr>
          <w:rFonts w:ascii="Arial" w:hAnsi="Arial" w:cs="Arial"/>
          <w:b/>
          <w:color w:val="000000"/>
          <w:sz w:val="24"/>
          <w:szCs w:val="24"/>
        </w:rPr>
        <w:t xml:space="preserve"> Results:</w:t>
      </w:r>
      <w:r w:rsidRPr="00FC47DF">
        <w:rPr>
          <w:rFonts w:ascii="Arial" w:hAnsi="Arial" w:cs="Arial"/>
          <w:sz w:val="24"/>
          <w:szCs w:val="24"/>
        </w:rPr>
        <w:t xml:space="preserve"> A total of 36 studies on the prevalence, and 17 studies on the factor analysis were </w:t>
      </w:r>
      <w:r w:rsidR="00A778E1">
        <w:rPr>
          <w:rFonts w:ascii="Arial" w:hAnsi="Arial" w:cs="Arial"/>
          <w:sz w:val="24"/>
          <w:szCs w:val="24"/>
        </w:rPr>
        <w:t>extracted and analyzed</w:t>
      </w:r>
      <w:r w:rsidRPr="00FC47DF">
        <w:rPr>
          <w:rFonts w:ascii="Arial" w:hAnsi="Arial" w:cs="Arial"/>
          <w:sz w:val="24"/>
          <w:szCs w:val="24"/>
        </w:rPr>
        <w:t>. The pooled magnitude of stunting in Ethiopia was 40.3% on fixed effect model, and 41.5% on random effect model despite its considerable heterogeneity (I</w:t>
      </w:r>
      <w:r w:rsidRPr="00FC47DF">
        <w:rPr>
          <w:rFonts w:ascii="Arial" w:hAnsi="Arial" w:cs="Arial"/>
          <w:sz w:val="24"/>
          <w:szCs w:val="24"/>
          <w:vertAlign w:val="superscript"/>
        </w:rPr>
        <w:t>2</w:t>
      </w:r>
      <w:r w:rsidRPr="00FC47DF">
        <w:rPr>
          <w:rFonts w:ascii="Arial" w:hAnsi="Arial" w:cs="Arial"/>
          <w:sz w:val="24"/>
          <w:szCs w:val="24"/>
        </w:rPr>
        <w:t xml:space="preserve">=97.6%, and P-value &lt;0.001). But the included studies had no publication bias (Egger test, P-value= </w:t>
      </w:r>
      <w:r w:rsidRPr="00FC47DF">
        <w:rPr>
          <w:rFonts w:ascii="Arial" w:hAnsi="Arial" w:cs="Arial"/>
          <w:bCs/>
          <w:sz w:val="24"/>
          <w:szCs w:val="24"/>
        </w:rPr>
        <w:t xml:space="preserve">0.26 </w:t>
      </w:r>
      <w:r w:rsidRPr="00FC47DF">
        <w:rPr>
          <w:rFonts w:ascii="Arial" w:hAnsi="Arial" w:cs="Arial"/>
          <w:sz w:val="24"/>
          <w:szCs w:val="24"/>
        </w:rPr>
        <w:t>and Begg’s test P-value = 0.87). Households with medium or poor wealth index/income were had association with under five children stunting ((pooled AOR), (95% CI)), ((1.33), (1.07, 1.65)) or ((1.92), 1.46, 2.54)) respectively than households with rich household wealth index/income. Just like the prevalence, the studies included in the factor analysis were highly heterogeneous (I</w:t>
      </w:r>
      <w:r w:rsidRPr="00FC47DF">
        <w:rPr>
          <w:rFonts w:ascii="Arial" w:hAnsi="Arial" w:cs="Arial"/>
          <w:sz w:val="24"/>
          <w:szCs w:val="24"/>
          <w:vertAlign w:val="superscript"/>
        </w:rPr>
        <w:t>2</w:t>
      </w:r>
      <w:r w:rsidRPr="00FC47DF">
        <w:rPr>
          <w:rFonts w:ascii="Arial" w:hAnsi="Arial" w:cs="Arial"/>
          <w:sz w:val="24"/>
          <w:szCs w:val="24"/>
        </w:rPr>
        <w:t xml:space="preserve"> =63.8% medium wealth index, and 78.3% poor wealth index, and P-value &lt;0.001 on both indexes). On the risk analysis, there is lack </w:t>
      </w:r>
      <w:r w:rsidR="00195869" w:rsidRPr="00FC47DF">
        <w:rPr>
          <w:rFonts w:ascii="Arial" w:hAnsi="Arial" w:cs="Arial"/>
          <w:sz w:val="24"/>
          <w:szCs w:val="24"/>
        </w:rPr>
        <w:t xml:space="preserve">of </w:t>
      </w:r>
      <w:r w:rsidRPr="00FC47DF">
        <w:rPr>
          <w:rFonts w:ascii="Arial" w:hAnsi="Arial" w:cs="Arial"/>
          <w:sz w:val="24"/>
          <w:szCs w:val="24"/>
        </w:rPr>
        <w:t>evidence for publication bias (both Egger and Begg’s test P-value &gt;0.05).</w:t>
      </w:r>
    </w:p>
    <w:p w14:paraId="76D744AA" w14:textId="60F92C4F" w:rsidR="00A57FD4" w:rsidRPr="00FC47DF" w:rsidRDefault="00A57FD4" w:rsidP="00FC47DF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FC47DF">
        <w:rPr>
          <w:rFonts w:ascii="Arial" w:hAnsi="Arial" w:cs="Arial"/>
          <w:b/>
          <w:color w:val="000000"/>
          <w:sz w:val="24"/>
          <w:szCs w:val="24"/>
        </w:rPr>
        <w:t xml:space="preserve">Conclusion: </w:t>
      </w:r>
      <w:r w:rsidRPr="00FC47DF">
        <w:rPr>
          <w:rFonts w:ascii="Arial" w:hAnsi="Arial" w:cs="Arial"/>
          <w:bCs/>
          <w:color w:val="000000"/>
          <w:sz w:val="24"/>
          <w:szCs w:val="24"/>
        </w:rPr>
        <w:t>The pooled prevalence of stunting is high and it remain a public health problem. On the subgroup analysis</w:t>
      </w:r>
      <w:r w:rsidR="00195869" w:rsidRPr="00FC47DF">
        <w:rPr>
          <w:rFonts w:ascii="Arial" w:hAnsi="Arial" w:cs="Arial"/>
          <w:bCs/>
          <w:color w:val="000000"/>
          <w:sz w:val="24"/>
          <w:szCs w:val="24"/>
        </w:rPr>
        <w:t xml:space="preserve"> by region</w:t>
      </w:r>
      <w:r w:rsidRPr="00FC47DF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r w:rsidR="00195869" w:rsidRPr="00FC47DF">
        <w:rPr>
          <w:rFonts w:ascii="Arial" w:hAnsi="Arial" w:cs="Arial"/>
          <w:bCs/>
          <w:color w:val="000000"/>
          <w:sz w:val="24"/>
          <w:szCs w:val="24"/>
        </w:rPr>
        <w:t xml:space="preserve">all the 7 included </w:t>
      </w:r>
      <w:r w:rsidRPr="00FC47DF">
        <w:rPr>
          <w:rFonts w:ascii="Arial" w:hAnsi="Arial" w:cs="Arial"/>
          <w:bCs/>
          <w:color w:val="000000"/>
          <w:sz w:val="24"/>
          <w:szCs w:val="24"/>
        </w:rPr>
        <w:t xml:space="preserve">region had </w:t>
      </w:r>
      <w:r w:rsidR="00195869" w:rsidRPr="00FC47DF">
        <w:rPr>
          <w:rFonts w:ascii="Arial" w:hAnsi="Arial" w:cs="Arial"/>
          <w:bCs/>
          <w:color w:val="000000"/>
          <w:sz w:val="24"/>
          <w:szCs w:val="24"/>
        </w:rPr>
        <w:t xml:space="preserve">high heterogeneity of stunting </w:t>
      </w:r>
      <w:r w:rsidRPr="00FC47DF">
        <w:rPr>
          <w:rFonts w:ascii="Arial" w:hAnsi="Arial" w:cs="Arial"/>
          <w:bCs/>
          <w:color w:val="000000"/>
          <w:sz w:val="24"/>
          <w:szCs w:val="24"/>
        </w:rPr>
        <w:t>prevalence</w:t>
      </w:r>
      <w:r w:rsidR="00195869" w:rsidRPr="00FC47DF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Pr="00FC47DF">
        <w:rPr>
          <w:rFonts w:ascii="Arial" w:hAnsi="Arial" w:cs="Arial"/>
          <w:bCs/>
          <w:color w:val="000000"/>
          <w:sz w:val="24"/>
          <w:szCs w:val="24"/>
        </w:rPr>
        <w:t xml:space="preserve">The factor analysis assured that wealth index is associated with stunting. Thus, the government should </w:t>
      </w:r>
      <w:r w:rsidR="00A11100">
        <w:rPr>
          <w:rFonts w:ascii="Arial" w:hAnsi="Arial" w:cs="Arial"/>
          <w:bCs/>
          <w:color w:val="000000"/>
          <w:sz w:val="24"/>
          <w:szCs w:val="24"/>
        </w:rPr>
        <w:t>focus</w:t>
      </w:r>
      <w:r w:rsidR="00A778E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FC47DF">
        <w:rPr>
          <w:rFonts w:ascii="Arial" w:hAnsi="Arial" w:cs="Arial"/>
          <w:bCs/>
          <w:color w:val="000000"/>
          <w:sz w:val="24"/>
          <w:szCs w:val="24"/>
        </w:rPr>
        <w:t>on community-based nutrition program with an emphasis on households with low wealth quantile.</w:t>
      </w:r>
    </w:p>
    <w:p w14:paraId="3EE1B14C" w14:textId="4E7C6EA0" w:rsidR="00A741B2" w:rsidRDefault="00A57FD4" w:rsidP="00FC47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47DF">
        <w:rPr>
          <w:rFonts w:ascii="Arial" w:hAnsi="Arial" w:cs="Arial"/>
          <w:b/>
          <w:bCs/>
          <w:sz w:val="24"/>
          <w:szCs w:val="24"/>
        </w:rPr>
        <w:t xml:space="preserve">Keywords: </w:t>
      </w:r>
      <w:r w:rsidR="00A04033" w:rsidRPr="00A04033">
        <w:rPr>
          <w:rFonts w:ascii="Arial" w:hAnsi="Arial" w:cs="Arial"/>
          <w:sz w:val="24"/>
          <w:szCs w:val="24"/>
        </w:rPr>
        <w:t xml:space="preserve">Ethiopia, </w:t>
      </w:r>
      <w:r w:rsidRPr="00A04033">
        <w:rPr>
          <w:rFonts w:ascii="Arial" w:hAnsi="Arial" w:cs="Arial"/>
          <w:sz w:val="24"/>
          <w:szCs w:val="24"/>
        </w:rPr>
        <w:t>Amhara</w:t>
      </w:r>
      <w:r w:rsidRPr="00FC47DF">
        <w:rPr>
          <w:rFonts w:ascii="Arial" w:hAnsi="Arial" w:cs="Arial"/>
          <w:sz w:val="24"/>
          <w:szCs w:val="24"/>
        </w:rPr>
        <w:t xml:space="preserve"> Public Health Institute, meta-analysis, stunting, wealth index, children</w:t>
      </w:r>
    </w:p>
    <w:p w14:paraId="62E429BE" w14:textId="4E7774E6" w:rsidR="009D7153" w:rsidRPr="009D7153" w:rsidRDefault="009D7153" w:rsidP="009D715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C47DF">
        <w:rPr>
          <w:rFonts w:ascii="Arial" w:hAnsi="Arial" w:cs="Arial"/>
          <w:b/>
          <w:sz w:val="24"/>
          <w:szCs w:val="24"/>
        </w:rPr>
        <w:lastRenderedPageBreak/>
        <w:t>LOW WEALTH QUANTILE PREDISPOSE UNDER FIVE CHILDREN TO STUNTING IN ETHIOPIA: META-ANALYSIS</w:t>
      </w:r>
    </w:p>
    <w:p w14:paraId="221D139E" w14:textId="2367DF09" w:rsidR="009D7153" w:rsidRPr="00FC47DF" w:rsidRDefault="009D7153" w:rsidP="009D715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C47DF">
        <w:rPr>
          <w:rFonts w:ascii="Arial" w:hAnsi="Arial" w:cs="Arial"/>
          <w:b/>
          <w:bCs/>
          <w:sz w:val="24"/>
          <w:szCs w:val="24"/>
        </w:rPr>
        <w:t>Abstract</w:t>
      </w:r>
    </w:p>
    <w:p w14:paraId="508655E3" w14:textId="77777777" w:rsidR="009D7153" w:rsidRPr="00FC47DF" w:rsidRDefault="009D7153" w:rsidP="009D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47DF">
        <w:rPr>
          <w:rFonts w:ascii="Arial" w:hAnsi="Arial" w:cs="Arial"/>
          <w:b/>
          <w:sz w:val="24"/>
          <w:szCs w:val="24"/>
        </w:rPr>
        <w:t>Background:</w:t>
      </w:r>
      <w:r w:rsidRPr="00FC47DF">
        <w:rPr>
          <w:rFonts w:ascii="Arial" w:hAnsi="Arial" w:cs="Arial"/>
          <w:sz w:val="24"/>
          <w:szCs w:val="24"/>
        </w:rPr>
        <w:t xml:space="preserve"> Stunting remains a public health problem in Ethiopia. </w:t>
      </w:r>
      <w:r w:rsidRPr="00FC47DF">
        <w:rPr>
          <w:rStyle w:val="fontstyle01"/>
          <w:rFonts w:ascii="Arial" w:hAnsi="Arial" w:cs="Arial"/>
          <w:sz w:val="24"/>
          <w:szCs w:val="24"/>
        </w:rPr>
        <w:t xml:space="preserve">Health care decisions should be informed by the best available evidences. Individual studies which may be biased, methodologically flawed, time and context dependent, might be misinterpreted, and misrepresented. </w:t>
      </w:r>
      <w:r w:rsidRPr="00FC47DF">
        <w:rPr>
          <w:rFonts w:ascii="Arial" w:hAnsi="Arial" w:cs="Arial"/>
          <w:sz w:val="24"/>
          <w:szCs w:val="24"/>
        </w:rPr>
        <w:t xml:space="preserve">Rather, </w:t>
      </w:r>
      <w:r w:rsidRPr="00FC47DF">
        <w:rPr>
          <w:rStyle w:val="fontstyle01"/>
          <w:rFonts w:ascii="Arial" w:hAnsi="Arial" w:cs="Arial"/>
          <w:sz w:val="24"/>
          <w:szCs w:val="24"/>
        </w:rPr>
        <w:t>systematic review could give a reliable and precise estimate than individual stud</w:t>
      </w:r>
      <w:r>
        <w:rPr>
          <w:rStyle w:val="fontstyle01"/>
          <w:rFonts w:ascii="Arial" w:hAnsi="Arial" w:cs="Arial"/>
          <w:sz w:val="24"/>
          <w:szCs w:val="24"/>
        </w:rPr>
        <w:t>ies</w:t>
      </w:r>
      <w:r w:rsidRPr="00FC47DF">
        <w:rPr>
          <w:rStyle w:val="fontstyle01"/>
          <w:rFonts w:ascii="Arial" w:hAnsi="Arial" w:cs="Arial"/>
          <w:sz w:val="24"/>
          <w:szCs w:val="24"/>
        </w:rPr>
        <w:t xml:space="preserve"> provided separately.</w:t>
      </w:r>
      <w:r w:rsidRPr="00FC47DF">
        <w:rPr>
          <w:rFonts w:ascii="Arial" w:hAnsi="Arial" w:cs="Arial"/>
          <w:sz w:val="24"/>
          <w:szCs w:val="24"/>
        </w:rPr>
        <w:t xml:space="preserve"> </w:t>
      </w:r>
      <w:r w:rsidRPr="00FC47DF">
        <w:rPr>
          <w:rFonts w:ascii="Arial" w:hAnsi="Arial" w:cs="Arial"/>
          <w:b/>
          <w:bCs/>
          <w:sz w:val="24"/>
          <w:szCs w:val="24"/>
        </w:rPr>
        <w:t>Objectives:</w:t>
      </w:r>
      <w:r w:rsidRPr="00FC47DF">
        <w:rPr>
          <w:rFonts w:ascii="Arial" w:hAnsi="Arial" w:cs="Arial"/>
          <w:sz w:val="24"/>
          <w:szCs w:val="24"/>
        </w:rPr>
        <w:t xml:space="preserve"> Thus, determining the pooled magnitude of stunting and </w:t>
      </w:r>
      <w:r>
        <w:rPr>
          <w:rFonts w:ascii="Arial" w:hAnsi="Arial" w:cs="Arial"/>
          <w:sz w:val="24"/>
          <w:szCs w:val="24"/>
        </w:rPr>
        <w:t xml:space="preserve">assess </w:t>
      </w:r>
      <w:r w:rsidRPr="00FC47DF">
        <w:rPr>
          <w:rFonts w:ascii="Arial" w:hAnsi="Arial" w:cs="Arial"/>
          <w:sz w:val="24"/>
          <w:szCs w:val="24"/>
        </w:rPr>
        <w:t xml:space="preserve">its association with wealth index could provide </w:t>
      </w:r>
      <w:r>
        <w:rPr>
          <w:rStyle w:val="fontstyle01"/>
          <w:rFonts w:ascii="Arial" w:hAnsi="Arial" w:cs="Arial"/>
          <w:sz w:val="24"/>
          <w:szCs w:val="24"/>
        </w:rPr>
        <w:t xml:space="preserve">significant </w:t>
      </w:r>
      <w:r w:rsidRPr="00FC47DF">
        <w:rPr>
          <w:rStyle w:val="fontstyle01"/>
          <w:rFonts w:ascii="Arial" w:hAnsi="Arial" w:cs="Arial"/>
          <w:sz w:val="24"/>
          <w:szCs w:val="24"/>
        </w:rPr>
        <w:t>evidence</w:t>
      </w:r>
      <w:r w:rsidRPr="00FC47DF">
        <w:rPr>
          <w:rFonts w:ascii="Arial" w:hAnsi="Arial" w:cs="Arial"/>
          <w:sz w:val="24"/>
          <w:szCs w:val="24"/>
        </w:rPr>
        <w:t xml:space="preserve"> to formulate appropriate nutritional intervention</w:t>
      </w:r>
      <w:r>
        <w:rPr>
          <w:rFonts w:ascii="Arial" w:hAnsi="Arial" w:cs="Arial"/>
          <w:sz w:val="24"/>
          <w:szCs w:val="24"/>
        </w:rPr>
        <w:t>s</w:t>
      </w:r>
      <w:r w:rsidRPr="00FC47DF">
        <w:rPr>
          <w:rFonts w:ascii="Arial" w:hAnsi="Arial" w:cs="Arial"/>
          <w:sz w:val="24"/>
          <w:szCs w:val="24"/>
        </w:rPr>
        <w:t xml:space="preserve">. </w:t>
      </w:r>
      <w:r w:rsidRPr="00FC47DF">
        <w:rPr>
          <w:rFonts w:ascii="Arial" w:hAnsi="Arial" w:cs="Arial"/>
          <w:b/>
          <w:sz w:val="24"/>
          <w:szCs w:val="24"/>
        </w:rPr>
        <w:t xml:space="preserve">Methods: </w:t>
      </w:r>
      <w:r w:rsidRPr="00FC47DF">
        <w:rPr>
          <w:rFonts w:ascii="Arial" w:hAnsi="Arial" w:cs="Arial"/>
          <w:bCs/>
          <w:sz w:val="24"/>
          <w:szCs w:val="24"/>
        </w:rPr>
        <w:t>O</w:t>
      </w:r>
      <w:r w:rsidRPr="00FC47DF">
        <w:rPr>
          <w:rFonts w:ascii="Arial" w:hAnsi="Arial" w:cs="Arial"/>
          <w:sz w:val="24"/>
          <w:szCs w:val="24"/>
        </w:rPr>
        <w:t xml:space="preserve">bservational studies </w:t>
      </w:r>
      <w:r w:rsidRPr="00FC47DF">
        <w:rPr>
          <w:rFonts w:ascii="Arial" w:hAnsi="Arial" w:cs="Arial"/>
          <w:bCs/>
          <w:sz w:val="24"/>
          <w:szCs w:val="24"/>
        </w:rPr>
        <w:t>published in English language from January 20, 2010 to November 15, 2019 were included. Databases including PubMed</w:t>
      </w:r>
      <w:r w:rsidRPr="00FC47DF">
        <w:rPr>
          <w:rFonts w:ascii="Arial" w:hAnsi="Arial" w:cs="Arial"/>
          <w:sz w:val="24"/>
          <w:szCs w:val="24"/>
        </w:rPr>
        <w:t>/Medline, Scopus, Google scholar, HINARI, and gray literatures were examined. The retrieved articles were screened and selected by tittles, abstracts, and through full text reading. T</w:t>
      </w:r>
      <w:r w:rsidRPr="00FC47DF">
        <w:rPr>
          <w:rFonts w:ascii="Arial" w:hAnsi="Arial" w:cs="Arial"/>
          <w:color w:val="000000"/>
          <w:sz w:val="24"/>
          <w:szCs w:val="24"/>
        </w:rPr>
        <w:t xml:space="preserve">he qualities of the eligible studies were assessed by </w:t>
      </w:r>
      <w:r w:rsidRPr="00FC47DF">
        <w:rPr>
          <w:rFonts w:ascii="Arial" w:hAnsi="Arial" w:cs="Arial"/>
          <w:bCs/>
          <w:color w:val="000000"/>
          <w:sz w:val="24"/>
          <w:szCs w:val="24"/>
        </w:rPr>
        <w:t xml:space="preserve">three </w:t>
      </w:r>
      <w:r w:rsidRPr="00FC47DF">
        <w:rPr>
          <w:rFonts w:ascii="Arial" w:hAnsi="Arial" w:cs="Arial"/>
          <w:color w:val="000000"/>
          <w:sz w:val="24"/>
          <w:szCs w:val="24"/>
        </w:rPr>
        <w:t>independent reviewers using JBI and STROBE critical appraisal checklist and their quality were graded as high quality/low risk and low quality/high risk. F</w:t>
      </w:r>
      <w:r w:rsidRPr="00FC47DF">
        <w:rPr>
          <w:rFonts w:ascii="Arial" w:hAnsi="Arial" w:cs="Arial"/>
          <w:sz w:val="24"/>
          <w:szCs w:val="24"/>
        </w:rPr>
        <w:t>unnel plot, Egger test, and Begg’s test were used to assess publication bias. Similarly, I</w:t>
      </w:r>
      <w:r w:rsidRPr="00FC47DF">
        <w:rPr>
          <w:rFonts w:ascii="Arial" w:hAnsi="Arial" w:cs="Arial"/>
          <w:sz w:val="24"/>
          <w:szCs w:val="24"/>
          <w:vertAlign w:val="superscript"/>
        </w:rPr>
        <w:t>2</w:t>
      </w:r>
      <w:r w:rsidRPr="00FC47DF">
        <w:rPr>
          <w:rFonts w:ascii="Arial" w:hAnsi="Arial" w:cs="Arial"/>
          <w:sz w:val="24"/>
          <w:szCs w:val="24"/>
        </w:rPr>
        <w:t xml:space="preserve">, forest plot, and Cochrane’s Q square statistics were </w:t>
      </w:r>
      <w:r>
        <w:rPr>
          <w:rFonts w:ascii="Arial" w:hAnsi="Arial" w:cs="Arial"/>
          <w:sz w:val="24"/>
          <w:szCs w:val="24"/>
        </w:rPr>
        <w:t>considered</w:t>
      </w:r>
      <w:r w:rsidRPr="00FC47DF">
        <w:rPr>
          <w:rFonts w:ascii="Arial" w:hAnsi="Arial" w:cs="Arial"/>
          <w:sz w:val="24"/>
          <w:szCs w:val="24"/>
        </w:rPr>
        <w:t xml:space="preserve"> to deal with heterogeneity of studies included. </w:t>
      </w:r>
    </w:p>
    <w:p w14:paraId="4C99B5DD" w14:textId="77777777" w:rsidR="009D7153" w:rsidRPr="00FC47DF" w:rsidRDefault="009D7153" w:rsidP="009D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47DF">
        <w:rPr>
          <w:rFonts w:ascii="Arial" w:hAnsi="Arial" w:cs="Arial"/>
          <w:b/>
          <w:color w:val="000000"/>
          <w:sz w:val="24"/>
          <w:szCs w:val="24"/>
        </w:rPr>
        <w:t xml:space="preserve"> Results:</w:t>
      </w:r>
      <w:r w:rsidRPr="00FC47DF">
        <w:rPr>
          <w:rFonts w:ascii="Arial" w:hAnsi="Arial" w:cs="Arial"/>
          <w:sz w:val="24"/>
          <w:szCs w:val="24"/>
        </w:rPr>
        <w:t xml:space="preserve"> A total of 36 studies on the prevalence, and 17 studies on the factor analysis were </w:t>
      </w:r>
      <w:r>
        <w:rPr>
          <w:rFonts w:ascii="Arial" w:hAnsi="Arial" w:cs="Arial"/>
          <w:sz w:val="24"/>
          <w:szCs w:val="24"/>
        </w:rPr>
        <w:t>extracted and analyzed</w:t>
      </w:r>
      <w:r w:rsidRPr="00FC47DF">
        <w:rPr>
          <w:rFonts w:ascii="Arial" w:hAnsi="Arial" w:cs="Arial"/>
          <w:sz w:val="24"/>
          <w:szCs w:val="24"/>
        </w:rPr>
        <w:t>. The pooled magnitude of stunting in Ethiopia was 40.3% on fixed effect model, and 41.5% on random effect model despite its considerable heterogeneity (I</w:t>
      </w:r>
      <w:r w:rsidRPr="00FC47DF">
        <w:rPr>
          <w:rFonts w:ascii="Arial" w:hAnsi="Arial" w:cs="Arial"/>
          <w:sz w:val="24"/>
          <w:szCs w:val="24"/>
          <w:vertAlign w:val="superscript"/>
        </w:rPr>
        <w:t>2</w:t>
      </w:r>
      <w:r w:rsidRPr="00FC47DF">
        <w:rPr>
          <w:rFonts w:ascii="Arial" w:hAnsi="Arial" w:cs="Arial"/>
          <w:sz w:val="24"/>
          <w:szCs w:val="24"/>
        </w:rPr>
        <w:t xml:space="preserve">=97.6%, and P-value &lt;0.001). But the included studies had no publication bias (Egger test, P-value= </w:t>
      </w:r>
      <w:r w:rsidRPr="00FC47DF">
        <w:rPr>
          <w:rFonts w:ascii="Arial" w:hAnsi="Arial" w:cs="Arial"/>
          <w:bCs/>
          <w:sz w:val="24"/>
          <w:szCs w:val="24"/>
        </w:rPr>
        <w:t xml:space="preserve">0.26 </w:t>
      </w:r>
      <w:r w:rsidRPr="00FC47DF">
        <w:rPr>
          <w:rFonts w:ascii="Arial" w:hAnsi="Arial" w:cs="Arial"/>
          <w:sz w:val="24"/>
          <w:szCs w:val="24"/>
        </w:rPr>
        <w:t>and Begg’s test P-value = 0.87). Households with medium or poor wealth index/income were had association with under five children stunting ((pooled AOR), (95% CI)), ((1.33), (1.07, 1.65)) or ((1.92), 1.46, 2.54)) respectively than households with rich household wealth index/income. Just like the prevalence, the studies included in the factor analysis were highly heterogeneous (I</w:t>
      </w:r>
      <w:r w:rsidRPr="00FC47DF">
        <w:rPr>
          <w:rFonts w:ascii="Arial" w:hAnsi="Arial" w:cs="Arial"/>
          <w:sz w:val="24"/>
          <w:szCs w:val="24"/>
          <w:vertAlign w:val="superscript"/>
        </w:rPr>
        <w:t>2</w:t>
      </w:r>
      <w:r w:rsidRPr="00FC47DF">
        <w:rPr>
          <w:rFonts w:ascii="Arial" w:hAnsi="Arial" w:cs="Arial"/>
          <w:sz w:val="24"/>
          <w:szCs w:val="24"/>
        </w:rPr>
        <w:t xml:space="preserve"> =63.8% medium wealth index, and 78.3% poor wealth index, and P-value &lt;0.001 on both indexes). On the risk analysis, there is lack of evidence for publication bias (both Egger and Begg’s test P-value &gt;0.05).</w:t>
      </w:r>
    </w:p>
    <w:p w14:paraId="3FE2B54E" w14:textId="528C3DD2" w:rsidR="009D7153" w:rsidRPr="00FC47DF" w:rsidRDefault="009D7153" w:rsidP="009D7153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FC47DF">
        <w:rPr>
          <w:rFonts w:ascii="Arial" w:hAnsi="Arial" w:cs="Arial"/>
          <w:b/>
          <w:color w:val="000000"/>
          <w:sz w:val="24"/>
          <w:szCs w:val="24"/>
        </w:rPr>
        <w:t xml:space="preserve">Conclusion: </w:t>
      </w:r>
      <w:r w:rsidRPr="00FC47DF">
        <w:rPr>
          <w:rFonts w:ascii="Arial" w:hAnsi="Arial" w:cs="Arial"/>
          <w:bCs/>
          <w:color w:val="000000"/>
          <w:sz w:val="24"/>
          <w:szCs w:val="24"/>
        </w:rPr>
        <w:t>The pooled prevalence of stunting is high and it remain a public health problem. On the subgroup analysis by region, all the 7 included region</w:t>
      </w:r>
      <w:r w:rsidR="00596479">
        <w:rPr>
          <w:rFonts w:ascii="Arial" w:hAnsi="Arial" w:cs="Arial"/>
          <w:bCs/>
          <w:color w:val="000000"/>
          <w:sz w:val="24"/>
          <w:szCs w:val="24"/>
        </w:rPr>
        <w:t>s</w:t>
      </w:r>
      <w:bookmarkStart w:id="1" w:name="_GoBack"/>
      <w:bookmarkEnd w:id="1"/>
      <w:r w:rsidRPr="00FC47DF">
        <w:rPr>
          <w:rFonts w:ascii="Arial" w:hAnsi="Arial" w:cs="Arial"/>
          <w:bCs/>
          <w:color w:val="000000"/>
          <w:sz w:val="24"/>
          <w:szCs w:val="24"/>
        </w:rPr>
        <w:t xml:space="preserve"> had high heterogeneity of stunting prevalence. The factor analysis assured that wealth index is associated with stunting. Thus, the government should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focus </w:t>
      </w:r>
      <w:r w:rsidRPr="00FC47DF">
        <w:rPr>
          <w:rFonts w:ascii="Arial" w:hAnsi="Arial" w:cs="Arial"/>
          <w:bCs/>
          <w:color w:val="000000"/>
          <w:sz w:val="24"/>
          <w:szCs w:val="24"/>
        </w:rPr>
        <w:t>on community-based nutrition program with an emphasis on households with low wealth quantile.</w:t>
      </w:r>
    </w:p>
    <w:p w14:paraId="775238E4" w14:textId="6E311E86" w:rsidR="009D7153" w:rsidRDefault="009D7153" w:rsidP="009D71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47DF">
        <w:rPr>
          <w:rFonts w:ascii="Arial" w:hAnsi="Arial" w:cs="Arial"/>
          <w:b/>
          <w:bCs/>
          <w:sz w:val="24"/>
          <w:szCs w:val="24"/>
        </w:rPr>
        <w:t xml:space="preserve">Keywords: </w:t>
      </w:r>
      <w:r w:rsidR="00A04033" w:rsidRPr="00A04033">
        <w:rPr>
          <w:rFonts w:ascii="Arial" w:hAnsi="Arial" w:cs="Arial"/>
          <w:sz w:val="24"/>
          <w:szCs w:val="24"/>
        </w:rPr>
        <w:t xml:space="preserve">Ethiopia, </w:t>
      </w:r>
      <w:r w:rsidRPr="00A04033">
        <w:rPr>
          <w:rFonts w:ascii="Arial" w:hAnsi="Arial" w:cs="Arial"/>
          <w:sz w:val="24"/>
          <w:szCs w:val="24"/>
        </w:rPr>
        <w:t>Amhara</w:t>
      </w:r>
      <w:r w:rsidRPr="00FC47DF">
        <w:rPr>
          <w:rFonts w:ascii="Arial" w:hAnsi="Arial" w:cs="Arial"/>
          <w:sz w:val="24"/>
          <w:szCs w:val="24"/>
        </w:rPr>
        <w:t xml:space="preserve"> Public Health Institute, meta-analysis, stunting, wealth index, children</w:t>
      </w:r>
    </w:p>
    <w:p w14:paraId="5E748C1B" w14:textId="77777777" w:rsidR="009D7153" w:rsidRPr="00FC47DF" w:rsidRDefault="009D7153" w:rsidP="00FC47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D7153" w:rsidRPr="00FC47D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B4A70" w14:textId="77777777" w:rsidR="0095117F" w:rsidRDefault="0095117F" w:rsidP="00C13085">
      <w:pPr>
        <w:spacing w:after="0" w:line="240" w:lineRule="auto"/>
      </w:pPr>
      <w:r>
        <w:separator/>
      </w:r>
    </w:p>
  </w:endnote>
  <w:endnote w:type="continuationSeparator" w:id="0">
    <w:p w14:paraId="2367B1F9" w14:textId="77777777" w:rsidR="0095117F" w:rsidRDefault="0095117F" w:rsidP="00C1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8453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71F2FC" w14:textId="784C62EE" w:rsidR="00C13085" w:rsidRDefault="00C130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1FD794" w14:textId="77777777" w:rsidR="00C13085" w:rsidRDefault="00C130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7DEA0" w14:textId="77777777" w:rsidR="0095117F" w:rsidRDefault="0095117F" w:rsidP="00C13085">
      <w:pPr>
        <w:spacing w:after="0" w:line="240" w:lineRule="auto"/>
      </w:pPr>
      <w:r>
        <w:separator/>
      </w:r>
    </w:p>
  </w:footnote>
  <w:footnote w:type="continuationSeparator" w:id="0">
    <w:p w14:paraId="1F8BFE4E" w14:textId="77777777" w:rsidR="0095117F" w:rsidRDefault="0095117F" w:rsidP="00C130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D4"/>
    <w:rsid w:val="00153B43"/>
    <w:rsid w:val="00191E71"/>
    <w:rsid w:val="00195869"/>
    <w:rsid w:val="002A4032"/>
    <w:rsid w:val="00416AF6"/>
    <w:rsid w:val="00596479"/>
    <w:rsid w:val="005D2807"/>
    <w:rsid w:val="006A2B7A"/>
    <w:rsid w:val="0095117F"/>
    <w:rsid w:val="009D7153"/>
    <w:rsid w:val="00A04033"/>
    <w:rsid w:val="00A11100"/>
    <w:rsid w:val="00A57FD4"/>
    <w:rsid w:val="00A741B2"/>
    <w:rsid w:val="00A778E1"/>
    <w:rsid w:val="00C07743"/>
    <w:rsid w:val="00C13085"/>
    <w:rsid w:val="00C1756D"/>
    <w:rsid w:val="00CE51D1"/>
    <w:rsid w:val="00E30F7A"/>
    <w:rsid w:val="00FC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E4B63"/>
  <w15:chartTrackingRefBased/>
  <w15:docId w15:val="{A9871930-D19C-4C8A-9077-31850C97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15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57F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F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ntstyle01">
    <w:name w:val="fontstyle01"/>
    <w:basedOn w:val="DefaultParagraphFont"/>
    <w:rsid w:val="00A57FD4"/>
    <w:rPr>
      <w:rFonts w:ascii="Verdana" w:hAnsi="Verdana" w:hint="default"/>
      <w:b w:val="0"/>
      <w:bCs w:val="0"/>
      <w:i w:val="0"/>
      <w:iCs w:val="0"/>
      <w:color w:val="231F2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7FD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3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085"/>
  </w:style>
  <w:style w:type="paragraph" w:styleId="Footer">
    <w:name w:val="footer"/>
    <w:basedOn w:val="Normal"/>
    <w:link w:val="FooterChar"/>
    <w:uiPriority w:val="99"/>
    <w:unhideWhenUsed/>
    <w:rsid w:val="00C13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2020-01-05T11:58:00Z</dcterms:created>
  <dcterms:modified xsi:type="dcterms:W3CDTF">2020-01-05T12:44:00Z</dcterms:modified>
</cp:coreProperties>
</file>