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427F2" w:rsidP="00494130">
      <w:pPr>
        <w:pStyle w:val="Ttulo1"/>
        <w:spacing w:before="170"/>
        <w:ind w:left="0"/>
      </w:pPr>
      <w:proofErr w:type="spellStart"/>
      <w:r w:rsidRPr="003427F2">
        <w:rPr>
          <w:rFonts w:cs="Calibri"/>
          <w:color w:val="365F91" w:themeColor="accent1" w:themeShade="BF"/>
        </w:rPr>
        <w:t>Polyphenolic</w:t>
      </w:r>
      <w:proofErr w:type="spellEnd"/>
      <w:r w:rsidRPr="003427F2">
        <w:rPr>
          <w:rFonts w:cs="Calibri"/>
          <w:color w:val="365F91" w:themeColor="accent1" w:themeShade="BF"/>
        </w:rPr>
        <w:t xml:space="preserve"> composition and antioxidant capacity of red wines made with the main grape varieties grown in Uruguay by two alternative methods of winemaking</w:t>
      </w:r>
    </w:p>
    <w:p w:rsidR="003427F2" w:rsidRDefault="003427F2" w:rsidP="005973B9">
      <w:pPr>
        <w:pStyle w:val="Textoindependiente"/>
        <w:spacing w:before="73" w:line="198" w:lineRule="exact"/>
        <w:ind w:left="100" w:right="5987"/>
        <w:rPr>
          <w:rFonts w:ascii="Arial" w:hAnsi="Arial" w:cs="Arial"/>
          <w:vertAlign w:val="superscript"/>
          <w:lang w:val="es-ES"/>
        </w:rPr>
      </w:pPr>
      <w:r w:rsidRPr="003427F2">
        <w:rPr>
          <w:rFonts w:ascii="Arial" w:hAnsi="Arial" w:cs="Arial"/>
          <w:lang w:val="es-ES"/>
        </w:rPr>
        <w:t>Gustavo González-Neves</w:t>
      </w:r>
      <w:r w:rsidRPr="003427F2">
        <w:rPr>
          <w:rFonts w:ascii="Arial" w:hAnsi="Arial" w:cs="Arial"/>
          <w:vertAlign w:val="superscript"/>
          <w:lang w:val="es-ES"/>
        </w:rPr>
        <w:t>1*</w:t>
      </w:r>
      <w:r w:rsidRPr="003427F2">
        <w:rPr>
          <w:rFonts w:ascii="Arial" w:hAnsi="Arial" w:cs="Arial"/>
          <w:lang w:val="es-ES"/>
        </w:rPr>
        <w:t>, María Pérez Serratosa</w:t>
      </w:r>
      <w:r w:rsidRPr="003427F2">
        <w:rPr>
          <w:rFonts w:ascii="Arial" w:hAnsi="Arial" w:cs="Arial"/>
          <w:vertAlign w:val="superscript"/>
          <w:lang w:val="es-ES"/>
        </w:rPr>
        <w:t>2</w:t>
      </w:r>
      <w:r w:rsidRPr="003427F2">
        <w:rPr>
          <w:rFonts w:ascii="Arial" w:hAnsi="Arial" w:cs="Arial"/>
          <w:lang w:val="es-ES"/>
        </w:rPr>
        <w:t>, Guzmán Favre</w:t>
      </w:r>
      <w:r w:rsidRPr="003427F2">
        <w:rPr>
          <w:rFonts w:ascii="Arial" w:hAnsi="Arial" w:cs="Arial"/>
          <w:vertAlign w:val="superscript"/>
          <w:lang w:val="es-ES"/>
        </w:rPr>
        <w:t>1</w:t>
      </w:r>
      <w:r>
        <w:rPr>
          <w:rFonts w:ascii="Arial" w:hAnsi="Arial" w:cs="Arial"/>
          <w:lang w:val="es-ES"/>
        </w:rPr>
        <w:t>, Diego P</w:t>
      </w:r>
      <w:r w:rsidRPr="003427F2">
        <w:rPr>
          <w:rFonts w:ascii="Arial" w:hAnsi="Arial" w:cs="Arial"/>
          <w:lang w:val="es-ES"/>
        </w:rPr>
        <w:t>iccardo</w:t>
      </w:r>
      <w:r w:rsidRPr="003427F2">
        <w:rPr>
          <w:rFonts w:ascii="Arial" w:hAnsi="Arial" w:cs="Arial"/>
          <w:vertAlign w:val="superscript"/>
          <w:lang w:val="es-ES"/>
        </w:rPr>
        <w:t>1</w:t>
      </w:r>
    </w:p>
    <w:p w:rsidR="005973B9" w:rsidRPr="00A32A45" w:rsidRDefault="003427F2" w:rsidP="005973B9">
      <w:pPr>
        <w:pStyle w:val="Textoindependiente"/>
        <w:spacing w:before="73" w:line="198" w:lineRule="exact"/>
        <w:ind w:left="100" w:right="5987"/>
        <w:rPr>
          <w:rFonts w:ascii="Arial" w:hAnsi="Arial" w:cs="Arial"/>
          <w:lang w:val="es-ES"/>
        </w:rPr>
      </w:pPr>
      <w:r w:rsidRPr="003427F2">
        <w:rPr>
          <w:rFonts w:ascii="Arial" w:hAnsi="Arial" w:cs="Arial"/>
          <w:b/>
          <w:vertAlign w:val="superscript"/>
          <w:lang w:val="es-ES"/>
        </w:rPr>
        <w:t>1</w:t>
      </w:r>
      <w:r w:rsidRPr="003427F2">
        <w:rPr>
          <w:rFonts w:ascii="Arial" w:hAnsi="Arial" w:cs="Arial"/>
          <w:lang w:val="es-ES"/>
        </w:rPr>
        <w:t xml:space="preserve"> Facultad de Agronomía. Universidad de la República. Avda. Garzón 780. C.P. 12900. Montevideo, Uruguay. </w:t>
      </w:r>
      <w:r>
        <w:rPr>
          <w:rFonts w:ascii="Arial" w:hAnsi="Arial" w:cs="Arial"/>
          <w:lang w:val="es-ES"/>
        </w:rPr>
        <w:t xml:space="preserve">    </w:t>
      </w:r>
      <w:r w:rsidRPr="003427F2">
        <w:rPr>
          <w:rFonts w:ascii="Arial" w:hAnsi="Arial" w:cs="Arial"/>
          <w:b/>
          <w:vertAlign w:val="superscript"/>
          <w:lang w:val="es-ES"/>
        </w:rPr>
        <w:t>2</w:t>
      </w:r>
      <w:r w:rsidRPr="003427F2">
        <w:rPr>
          <w:rFonts w:ascii="Arial" w:hAnsi="Arial" w:cs="Arial"/>
          <w:lang w:val="es-ES"/>
        </w:rPr>
        <w:t xml:space="preserve"> Universidad de Córdoba. </w:t>
      </w:r>
      <w:r w:rsidRPr="003427F2">
        <w:rPr>
          <w:rFonts w:ascii="Arial" w:hAnsi="Arial" w:cs="Arial"/>
          <w:color w:val="222222"/>
          <w:shd w:val="clear" w:color="auto" w:fill="FFFFFF"/>
          <w:lang w:val="es-ES"/>
        </w:rPr>
        <w:t xml:space="preserve">Plaza de Puerta Nueva s/n. 14002. </w:t>
      </w:r>
      <w:r w:rsidRPr="00A32A45">
        <w:rPr>
          <w:rFonts w:ascii="Arial" w:hAnsi="Arial" w:cs="Arial"/>
          <w:color w:val="222222"/>
          <w:shd w:val="clear" w:color="auto" w:fill="FFFFFF"/>
          <w:lang w:val="es-ES"/>
        </w:rPr>
        <w:t xml:space="preserve">Córdoba, </w:t>
      </w:r>
      <w:r w:rsidRPr="00A32A45">
        <w:rPr>
          <w:rFonts w:ascii="Arial" w:hAnsi="Arial" w:cs="Arial"/>
          <w:lang w:val="es-ES"/>
        </w:rPr>
        <w:t>Spain</w:t>
      </w:r>
      <w:r w:rsidR="00CF6E66" w:rsidRPr="00A32A45">
        <w:rPr>
          <w:rFonts w:ascii="Arial" w:hAnsi="Arial" w:cs="Arial"/>
          <w:lang w:val="es-ES"/>
        </w:rPr>
        <w:t>.</w:t>
      </w:r>
    </w:p>
    <w:p w:rsidR="00AE3E37" w:rsidRPr="00A32A45" w:rsidRDefault="00AE3E37">
      <w:pPr>
        <w:pStyle w:val="Textoindependiente"/>
        <w:rPr>
          <w:rFonts w:ascii="Arial"/>
          <w:sz w:val="20"/>
          <w:lang w:val="es-ES"/>
        </w:rPr>
      </w:pPr>
    </w:p>
    <w:p w:rsidR="00AE3E37" w:rsidRPr="00A32A45" w:rsidRDefault="00AE3E37">
      <w:pPr>
        <w:pStyle w:val="Textoindependiente"/>
        <w:spacing w:before="3"/>
        <w:rPr>
          <w:rFonts w:ascii="Arial"/>
          <w:sz w:val="21"/>
          <w:lang w:val="es-ES"/>
        </w:rPr>
      </w:pPr>
    </w:p>
    <w:p w:rsidR="00AE3E37" w:rsidRPr="00A32A45" w:rsidRDefault="00AE3E37">
      <w:pPr>
        <w:rPr>
          <w:rFonts w:ascii="Arial"/>
          <w:sz w:val="21"/>
          <w:lang w:val="es-ES"/>
        </w:rPr>
        <w:sectPr w:rsidR="00AE3E37" w:rsidRPr="00A32A45" w:rsidSect="00CF6E66">
          <w:headerReference w:type="default" r:id="rId8"/>
          <w:footerReference w:type="default" r:id="rId9"/>
          <w:type w:val="continuous"/>
          <w:pgSz w:w="11910" w:h="16840"/>
          <w:pgMar w:top="99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Pr="003427F2" w:rsidRDefault="003427F2">
      <w:pPr>
        <w:pStyle w:val="Textoindependiente"/>
        <w:spacing w:before="90" w:line="280" w:lineRule="auto"/>
        <w:ind w:left="100"/>
        <w:jc w:val="both"/>
      </w:pPr>
      <w:r w:rsidRPr="003427F2">
        <w:rPr>
          <w:rFonts w:cstheme="minorHAnsi"/>
        </w:rPr>
        <w:t xml:space="preserve">The antioxidant capacity (AC) of wine is related to its </w:t>
      </w:r>
      <w:proofErr w:type="spellStart"/>
      <w:r w:rsidRPr="003427F2">
        <w:rPr>
          <w:rFonts w:cstheme="minorHAnsi"/>
        </w:rPr>
        <w:t>polyphenolic</w:t>
      </w:r>
      <w:proofErr w:type="spellEnd"/>
      <w:r w:rsidRPr="003427F2">
        <w:rPr>
          <w:rFonts w:cstheme="minorHAnsi"/>
        </w:rPr>
        <w:t xml:space="preserve"> composition. Genetic factors have a significant impact on the composition of grapes and wines. The wine-growing conditions modify the extraction of compounds from grape skins and seeds. The aim of this study was to evaluate the antioxidant capacity and the </w:t>
      </w:r>
      <w:proofErr w:type="spellStart"/>
      <w:r w:rsidRPr="003427F2">
        <w:rPr>
          <w:rFonts w:cstheme="minorHAnsi"/>
        </w:rPr>
        <w:t>polyphenolic</w:t>
      </w:r>
      <w:proofErr w:type="spellEnd"/>
      <w:r w:rsidRPr="003427F2">
        <w:rPr>
          <w:rFonts w:cstheme="minorHAnsi"/>
        </w:rPr>
        <w:t xml:space="preserve"> composition of the red wines of Merlot, Cabernet Franc, Cabernet Sauvignon, Syrah, </w:t>
      </w:r>
      <w:proofErr w:type="spellStart"/>
      <w:r w:rsidRPr="003427F2">
        <w:rPr>
          <w:rFonts w:cstheme="minorHAnsi"/>
        </w:rPr>
        <w:t>Marselan</w:t>
      </w:r>
      <w:proofErr w:type="spellEnd"/>
      <w:r w:rsidRPr="003427F2">
        <w:rPr>
          <w:rFonts w:cstheme="minorHAnsi"/>
        </w:rPr>
        <w:t xml:space="preserve"> and </w:t>
      </w:r>
      <w:proofErr w:type="spellStart"/>
      <w:r w:rsidRPr="003427F2">
        <w:rPr>
          <w:rFonts w:cstheme="minorHAnsi"/>
        </w:rPr>
        <w:t>Tannat</w:t>
      </w:r>
      <w:proofErr w:type="spellEnd"/>
      <w:r w:rsidRPr="003427F2">
        <w:rPr>
          <w:rFonts w:cstheme="minorHAnsi"/>
        </w:rPr>
        <w:t xml:space="preserve"> produced by two alternative methods of winemaking. The wines were elaborated by delayed extraction of </w:t>
      </w:r>
      <w:proofErr w:type="spellStart"/>
      <w:r w:rsidRPr="003427F2">
        <w:rPr>
          <w:rFonts w:cstheme="minorHAnsi"/>
        </w:rPr>
        <w:t>anthocyanins</w:t>
      </w:r>
      <w:proofErr w:type="spellEnd"/>
      <w:r w:rsidRPr="003427F2">
        <w:rPr>
          <w:rFonts w:cstheme="minorHAnsi"/>
        </w:rPr>
        <w:t xml:space="preserve"> plus extended maceration (DEA + EM) and by traditional maceration (TM). The wines were produced using 70 kg of grapes in each winemaking, with two replicates. The </w:t>
      </w:r>
      <w:proofErr w:type="spellStart"/>
      <w:r w:rsidRPr="003427F2">
        <w:rPr>
          <w:rFonts w:cstheme="minorHAnsi"/>
        </w:rPr>
        <w:t>polyphenolic</w:t>
      </w:r>
      <w:proofErr w:type="spellEnd"/>
      <w:r w:rsidRPr="003427F2">
        <w:rPr>
          <w:rFonts w:cstheme="minorHAnsi"/>
        </w:rPr>
        <w:t xml:space="preserve"> composition and AC were analyzed at 6 months after </w:t>
      </w:r>
      <w:proofErr w:type="spellStart"/>
      <w:r w:rsidRPr="003427F2">
        <w:rPr>
          <w:rFonts w:cstheme="minorHAnsi"/>
        </w:rPr>
        <w:t>vinification</w:t>
      </w:r>
      <w:proofErr w:type="spellEnd"/>
      <w:r w:rsidRPr="003427F2">
        <w:rPr>
          <w:rFonts w:cstheme="minorHAnsi"/>
        </w:rPr>
        <w:t xml:space="preserve">. Phenolic families were quantified using classical spectrophotometric methods, while AC was evaluated using DPPH and ABTS methods. The AC values obtained with each method were significantly different. The wines of the different varieties showed significant differences in the </w:t>
      </w:r>
      <w:proofErr w:type="spellStart"/>
      <w:r w:rsidRPr="003427F2">
        <w:rPr>
          <w:rFonts w:cstheme="minorHAnsi"/>
        </w:rPr>
        <w:t>polyphenolic</w:t>
      </w:r>
      <w:proofErr w:type="spellEnd"/>
      <w:r w:rsidRPr="003427F2">
        <w:rPr>
          <w:rFonts w:cstheme="minorHAnsi"/>
        </w:rPr>
        <w:t xml:space="preserve"> composition. </w:t>
      </w:r>
      <w:proofErr w:type="spellStart"/>
      <w:r w:rsidRPr="003427F2">
        <w:rPr>
          <w:rFonts w:cstheme="minorHAnsi"/>
        </w:rPr>
        <w:t>Tannat</w:t>
      </w:r>
      <w:proofErr w:type="spellEnd"/>
      <w:r w:rsidRPr="003427F2">
        <w:rPr>
          <w:rFonts w:cstheme="minorHAnsi"/>
        </w:rPr>
        <w:t xml:space="preserve"> and </w:t>
      </w:r>
      <w:proofErr w:type="spellStart"/>
      <w:r w:rsidRPr="003427F2">
        <w:rPr>
          <w:rFonts w:cstheme="minorHAnsi"/>
        </w:rPr>
        <w:t>Marselan</w:t>
      </w:r>
      <w:proofErr w:type="spellEnd"/>
      <w:r w:rsidRPr="003427F2">
        <w:rPr>
          <w:rFonts w:cstheme="minorHAnsi"/>
        </w:rPr>
        <w:t xml:space="preserve"> wines had the highest antioxidant capacities and the highest polyphenol contents. Polyphenol indices were significantly correlated with AC measurements. Winemaking techniques showed a significant impact on the phenolic composition of the wines although this fact did not affect their AC. It can be concluded that the grape variety and the </w:t>
      </w:r>
      <w:proofErr w:type="spellStart"/>
      <w:r w:rsidRPr="003427F2">
        <w:rPr>
          <w:rFonts w:cstheme="minorHAnsi"/>
        </w:rPr>
        <w:t>vinification</w:t>
      </w:r>
      <w:proofErr w:type="spellEnd"/>
      <w:r w:rsidRPr="003427F2">
        <w:rPr>
          <w:rFonts w:cstheme="minorHAnsi"/>
        </w:rPr>
        <w:t xml:space="preserve"> conditions determined important differences in the </w:t>
      </w:r>
      <w:proofErr w:type="spellStart"/>
      <w:r w:rsidRPr="003427F2">
        <w:rPr>
          <w:rFonts w:cstheme="minorHAnsi"/>
        </w:rPr>
        <w:t>polyphenolic</w:t>
      </w:r>
      <w:proofErr w:type="spellEnd"/>
      <w:r w:rsidRPr="003427F2">
        <w:rPr>
          <w:rFonts w:cstheme="minorHAnsi"/>
        </w:rPr>
        <w:t xml:space="preserve"> composition and in the antioxidant capacity of the wines. The polyphenol contents of the wines of each variety presented great differences that can determine important variations in their sensory properties and chemical evolution.</w:t>
      </w:r>
    </w:p>
    <w:p w:rsidR="00AE3E37" w:rsidRDefault="00A9710C">
      <w:pPr>
        <w:pStyle w:val="Ttulo3"/>
        <w:spacing w:before="74"/>
      </w:pPr>
      <w:r>
        <w:rPr>
          <w:b w:val="0"/>
        </w:rPr>
        <w:br w:type="column"/>
      </w:r>
      <w:r w:rsidR="00CF6E66" w:rsidRPr="00CF6E66">
        <w:rPr>
          <w:color w:val="BF5A14"/>
        </w:rPr>
        <w:lastRenderedPageBreak/>
        <w:t xml:space="preserve">Related </w:t>
      </w:r>
      <w:r>
        <w:rPr>
          <w:color w:val="BF5A14"/>
        </w:rPr>
        <w:t>Image</w:t>
      </w:r>
      <w:r w:rsidR="00CF6E66">
        <w:rPr>
          <w:color w:val="BF5A14"/>
        </w:rPr>
        <w:t xml:space="preserve"> </w:t>
      </w:r>
    </w:p>
    <w:p w:rsidR="00AE3E37" w:rsidRDefault="000B0595">
      <w:pPr>
        <w:pStyle w:val="Textoindependiente"/>
        <w:spacing w:before="2"/>
        <w:rPr>
          <w:rFonts w:ascii="Arial"/>
          <w:b/>
          <w:sz w:val="16"/>
        </w:rPr>
      </w:pPr>
      <w:r>
        <w:rPr>
          <w:rFonts w:ascii="Arial"/>
          <w:b/>
          <w:noProof/>
          <w:sz w:val="16"/>
          <w:lang w:val="es-ES" w:eastAsia="es-ES"/>
        </w:rPr>
        <mc:AlternateContent>
          <mc:Choice Requires="wps">
            <w:drawing>
              <wp:anchor distT="0" distB="0" distL="114300" distR="114300" simplePos="0" relativeHeight="251658240" behindDoc="0" locked="0" layoutInCell="1" allowOverlap="1">
                <wp:simplePos x="0" y="0"/>
                <wp:positionH relativeFrom="column">
                  <wp:posOffset>40640</wp:posOffset>
                </wp:positionH>
                <wp:positionV relativeFrom="paragraph">
                  <wp:posOffset>45720</wp:posOffset>
                </wp:positionV>
                <wp:extent cx="2882265" cy="903605"/>
                <wp:effectExtent l="3810" t="0" r="0" b="190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903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6E66" w:rsidRDefault="001C3093" w:rsidP="00CE5D2B">
                            <w:bookmarkStart w:id="0" w:name="_GoBack"/>
                            <w:r>
                              <w:rPr>
                                <w:noProof/>
                                <w:lang w:val="es-ES" w:eastAsia="es-ES"/>
                              </w:rPr>
                              <w:drawing>
                                <wp:inline distT="0" distB="0" distL="0" distR="0" wp14:anchorId="09AE4744" wp14:editId="7DF0AE80">
                                  <wp:extent cx="1228954" cy="818408"/>
                                  <wp:effectExtent l="0" t="0" r="0" b="0"/>
                                  <wp:docPr id="1" name="Imagen 1" descr="C:\Users\Gustavo\Documents\FOTOS\Agronomía\Vendimia 2016\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stavo\Documents\FOTOS\Agronomía\Vendimia 2016\00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9903" cy="825699"/>
                                          </a:xfrm>
                                          <a:prstGeom prst="rect">
                                            <a:avLst/>
                                          </a:prstGeom>
                                          <a:noFill/>
                                          <a:ln>
                                            <a:noFill/>
                                          </a:ln>
                                        </pic:spPr>
                                      </pic:pic>
                                    </a:graphicData>
                                  </a:graphic>
                                </wp:inline>
                              </w:drawing>
                            </w:r>
                            <w:bookmarkEnd w:id="0"/>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2pt;margin-top:3.6pt;width:226.95pt;height:7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" stroked="f">
                <v:textbox>
                  <w:txbxContent>
                    <w:p w:rsidR="00CF6E66" w:rsidRDefault="001C3093" w:rsidP="00CE5D2B">
                      <w:bookmarkStart w:id="1" w:name="_GoBack"/>
                      <w:r>
                        <w:rPr>
                          <w:noProof/>
                          <w:lang w:val="es-ES" w:eastAsia="es-ES"/>
                        </w:rPr>
                        <w:drawing>
                          <wp:inline distT="0" distB="0" distL="0" distR="0" wp14:anchorId="09AE4744" wp14:editId="7DF0AE80">
                            <wp:extent cx="1228954" cy="818408"/>
                            <wp:effectExtent l="0" t="0" r="0" b="0"/>
                            <wp:docPr id="1" name="Imagen 1" descr="C:\Users\Gustavo\Documents\FOTOS\Agronomía\Vendimia 2016\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stavo\Documents\FOTOS\Agronomía\Vendimia 2016\00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9903" cy="825699"/>
                                    </a:xfrm>
                                    <a:prstGeom prst="rect">
                                      <a:avLst/>
                                    </a:prstGeom>
                                    <a:noFill/>
                                    <a:ln>
                                      <a:noFill/>
                                    </a:ln>
                                  </pic:spPr>
                                </pic:pic>
                              </a:graphicData>
                            </a:graphic>
                          </wp:inline>
                        </w:drawing>
                      </w:r>
                      <w:bookmarkEnd w:id="1"/>
                      <w:r>
                        <w:t xml:space="preserve">       </w:t>
                      </w:r>
                    </w:p>
                  </w:txbxContent>
                </v:textbox>
              </v:shape>
            </w:pict>
          </mc:Fallback>
        </mc:AlternateContent>
      </w: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CF6E66" w:rsidRDefault="005973B9" w:rsidP="005973B9">
      <w:pPr>
        <w:spacing w:line="204" w:lineRule="exact"/>
        <w:rPr>
          <w:rFonts w:ascii="Arial"/>
          <w:b/>
          <w:color w:val="BF5A14"/>
          <w:sz w:val="20"/>
        </w:rPr>
      </w:pPr>
      <w:r>
        <w:rPr>
          <w:rFonts w:ascii="Arial"/>
          <w:b/>
          <w:color w:val="BF5A14"/>
          <w:sz w:val="20"/>
        </w:rPr>
        <w:br/>
      </w:r>
    </w:p>
    <w:p w:rsidR="00CF6E66" w:rsidRDefault="00CF6E66" w:rsidP="005973B9">
      <w:pPr>
        <w:spacing w:line="204" w:lineRule="exact"/>
        <w:rPr>
          <w:rFonts w:ascii="Arial"/>
          <w:b/>
          <w:color w:val="BF5A14"/>
          <w:sz w:val="20"/>
        </w:rPr>
      </w:pPr>
    </w:p>
    <w:p w:rsidR="00CE5D2B" w:rsidRDefault="00CE5D2B" w:rsidP="005973B9">
      <w:pPr>
        <w:spacing w:line="204" w:lineRule="exact"/>
        <w:rPr>
          <w:rFonts w:ascii="Arial"/>
          <w:b/>
          <w:color w:val="BF5A14"/>
          <w:sz w:val="20"/>
        </w:rPr>
      </w:pPr>
    </w:p>
    <w:p w:rsidR="005973B9" w:rsidRDefault="00F33904" w:rsidP="005973B9">
      <w:pPr>
        <w:spacing w:line="204" w:lineRule="exact"/>
        <w:rPr>
          <w:rFonts w:ascii="Arial"/>
          <w:b/>
          <w:color w:val="BF5A14"/>
          <w:sz w:val="20"/>
        </w:rPr>
      </w:pPr>
      <w:r>
        <w:rPr>
          <w:rFonts w:ascii="Arial"/>
          <w:b/>
          <w:color w:val="BF5A14"/>
          <w:sz w:val="20"/>
        </w:rPr>
        <w:t xml:space="preserve">List of </w:t>
      </w:r>
      <w:r w:rsidR="005973B9">
        <w:rPr>
          <w:rFonts w:ascii="Arial"/>
          <w:b/>
          <w:color w:val="BF5A14"/>
          <w:sz w:val="20"/>
        </w:rPr>
        <w:t xml:space="preserve">Recent Publications </w:t>
      </w:r>
    </w:p>
    <w:p w:rsidR="003427F2" w:rsidRPr="00673663" w:rsidRDefault="00CF6E66" w:rsidP="003427F2">
      <w:pPr>
        <w:autoSpaceDE w:val="0"/>
        <w:autoSpaceDN w:val="0"/>
        <w:spacing w:before="60" w:after="60"/>
        <w:jc w:val="both"/>
        <w:rPr>
          <w:rFonts w:ascii="Arial" w:hAnsi="Arial" w:cs="Arial"/>
          <w:spacing w:val="-3"/>
          <w:sz w:val="20"/>
          <w:szCs w:val="20"/>
        </w:rPr>
      </w:pPr>
      <w:r w:rsidRPr="002C3841">
        <w:rPr>
          <w:rFonts w:ascii="Arial"/>
          <w:b/>
          <w:color w:val="000000" w:themeColor="text1"/>
          <w:sz w:val="20"/>
          <w:lang w:val="es-ES"/>
        </w:rPr>
        <w:t>1.</w:t>
      </w:r>
      <w:r w:rsidR="003427F2" w:rsidRPr="002C3841">
        <w:rPr>
          <w:rFonts w:ascii="Tahoma" w:hAnsi="Tahoma" w:cs="Tahoma"/>
          <w:color w:val="000000"/>
          <w:spacing w:val="-3"/>
          <w:sz w:val="20"/>
          <w:szCs w:val="20"/>
          <w:lang w:val="es-ES"/>
        </w:rPr>
        <w:t xml:space="preserve"> </w:t>
      </w:r>
      <w:r w:rsidR="003427F2" w:rsidRPr="002C3841">
        <w:rPr>
          <w:rFonts w:ascii="Arial" w:hAnsi="Arial" w:cs="Arial"/>
          <w:color w:val="000000"/>
          <w:spacing w:val="-3"/>
          <w:sz w:val="20"/>
          <w:szCs w:val="20"/>
          <w:lang w:val="es-ES"/>
        </w:rPr>
        <w:t>González-</w:t>
      </w:r>
      <w:proofErr w:type="spellStart"/>
      <w:r w:rsidR="003427F2" w:rsidRPr="002C3841">
        <w:rPr>
          <w:rFonts w:ascii="Arial" w:hAnsi="Arial" w:cs="Arial"/>
          <w:color w:val="000000"/>
          <w:spacing w:val="-3"/>
          <w:sz w:val="20"/>
          <w:szCs w:val="20"/>
          <w:lang w:val="es-ES"/>
        </w:rPr>
        <w:t>Neves</w:t>
      </w:r>
      <w:proofErr w:type="spellEnd"/>
      <w:r w:rsidR="003427F2" w:rsidRPr="002C3841">
        <w:rPr>
          <w:rFonts w:ascii="Arial" w:hAnsi="Arial" w:cs="Arial"/>
          <w:color w:val="000000"/>
          <w:spacing w:val="-3"/>
          <w:sz w:val="20"/>
          <w:szCs w:val="20"/>
          <w:lang w:val="es-ES"/>
        </w:rPr>
        <w:t>, G.;</w:t>
      </w:r>
      <w:r w:rsidR="003427F2" w:rsidRPr="002C3841">
        <w:rPr>
          <w:rFonts w:ascii="Arial" w:hAnsi="Arial" w:cs="Arial"/>
          <w:color w:val="000000"/>
          <w:sz w:val="20"/>
          <w:szCs w:val="20"/>
          <w:lang w:val="es-ES"/>
        </w:rPr>
        <w:t xml:space="preserve"> </w:t>
      </w:r>
      <w:proofErr w:type="spellStart"/>
      <w:r w:rsidR="003427F2" w:rsidRPr="002C3841">
        <w:rPr>
          <w:rFonts w:ascii="Arial" w:hAnsi="Arial" w:cs="Arial"/>
          <w:color w:val="000000"/>
          <w:spacing w:val="-3"/>
          <w:sz w:val="20"/>
          <w:szCs w:val="20"/>
          <w:lang w:val="es-ES"/>
        </w:rPr>
        <w:t>Favre</w:t>
      </w:r>
      <w:proofErr w:type="spellEnd"/>
      <w:r w:rsidR="003427F2" w:rsidRPr="002C3841">
        <w:rPr>
          <w:rFonts w:ascii="Arial" w:hAnsi="Arial" w:cs="Arial"/>
          <w:color w:val="000000"/>
          <w:spacing w:val="-3"/>
          <w:sz w:val="20"/>
          <w:szCs w:val="20"/>
          <w:lang w:val="es-ES"/>
        </w:rPr>
        <w:t xml:space="preserve">, G.; </w:t>
      </w:r>
      <w:proofErr w:type="spellStart"/>
      <w:r w:rsidR="003427F2" w:rsidRPr="002C3841">
        <w:rPr>
          <w:rFonts w:ascii="Arial" w:hAnsi="Arial" w:cs="Arial"/>
          <w:color w:val="000000"/>
          <w:spacing w:val="-3"/>
          <w:sz w:val="20"/>
          <w:szCs w:val="20"/>
          <w:lang w:val="es-ES"/>
        </w:rPr>
        <w:t>Piccardo</w:t>
      </w:r>
      <w:proofErr w:type="spellEnd"/>
      <w:r w:rsidR="003427F2" w:rsidRPr="002C3841">
        <w:rPr>
          <w:rFonts w:ascii="Arial" w:hAnsi="Arial" w:cs="Arial"/>
          <w:color w:val="000000"/>
          <w:spacing w:val="-3"/>
          <w:sz w:val="20"/>
          <w:szCs w:val="20"/>
          <w:lang w:val="es-ES"/>
        </w:rPr>
        <w:t xml:space="preserve">, D.; Gil, G. </w:t>
      </w:r>
      <w:r w:rsidR="003427F2" w:rsidRPr="002C3841">
        <w:rPr>
          <w:rFonts w:ascii="Arial" w:hAnsi="Arial" w:cs="Arial"/>
          <w:color w:val="000000"/>
          <w:sz w:val="20"/>
          <w:szCs w:val="20"/>
          <w:lang w:val="es-ES"/>
        </w:rPr>
        <w:t xml:space="preserve">2016. </w:t>
      </w:r>
      <w:r w:rsidR="003427F2" w:rsidRPr="00673663">
        <w:rPr>
          <w:rFonts w:ascii="Arial" w:hAnsi="Arial" w:cs="Arial"/>
          <w:color w:val="000000"/>
          <w:sz w:val="20"/>
          <w:szCs w:val="20"/>
        </w:rPr>
        <w:t xml:space="preserve">Anthocyanin profile of young red wines of </w:t>
      </w:r>
      <w:proofErr w:type="spellStart"/>
      <w:r w:rsidR="003427F2" w:rsidRPr="00673663">
        <w:rPr>
          <w:rFonts w:ascii="Arial" w:hAnsi="Arial" w:cs="Arial"/>
          <w:color w:val="000000"/>
          <w:sz w:val="20"/>
          <w:szCs w:val="20"/>
        </w:rPr>
        <w:t>Tannat</w:t>
      </w:r>
      <w:proofErr w:type="spellEnd"/>
      <w:r w:rsidR="003427F2" w:rsidRPr="00673663">
        <w:rPr>
          <w:rFonts w:ascii="Arial" w:hAnsi="Arial" w:cs="Arial"/>
          <w:color w:val="000000"/>
          <w:sz w:val="20"/>
          <w:szCs w:val="20"/>
        </w:rPr>
        <w:t xml:space="preserve">, Syrah and Merlot made using maceration enzymes and cold soak. </w:t>
      </w:r>
      <w:r w:rsidR="003427F2" w:rsidRPr="00673663">
        <w:rPr>
          <w:rFonts w:ascii="Arial" w:hAnsi="Arial" w:cs="Arial"/>
          <w:spacing w:val="-3"/>
          <w:sz w:val="20"/>
          <w:szCs w:val="20"/>
        </w:rPr>
        <w:t>International Journal of Food Science and Technology 51</w:t>
      </w:r>
      <w:r w:rsidR="001F00D8">
        <w:rPr>
          <w:rFonts w:ascii="Arial" w:hAnsi="Arial" w:cs="Arial"/>
          <w:spacing w:val="-3"/>
          <w:sz w:val="20"/>
          <w:szCs w:val="20"/>
        </w:rPr>
        <w:t xml:space="preserve">(1), </w:t>
      </w:r>
      <w:r w:rsidR="003427F2" w:rsidRPr="00673663">
        <w:rPr>
          <w:rFonts w:ascii="Arial" w:hAnsi="Arial" w:cs="Arial"/>
          <w:spacing w:val="-3"/>
          <w:sz w:val="20"/>
          <w:szCs w:val="20"/>
        </w:rPr>
        <w:t>260-267.</w:t>
      </w:r>
    </w:p>
    <w:p w:rsidR="00673663" w:rsidRPr="00CF6E66" w:rsidRDefault="00673663" w:rsidP="00673663">
      <w:pPr>
        <w:spacing w:line="204" w:lineRule="exact"/>
        <w:rPr>
          <w:rFonts w:ascii="Arial"/>
          <w:b/>
          <w:color w:val="000000" w:themeColor="text1"/>
          <w:sz w:val="20"/>
        </w:rPr>
      </w:pPr>
      <w:r w:rsidRPr="00CE5D2B">
        <w:rPr>
          <w:rFonts w:ascii="Arial"/>
          <w:b/>
          <w:color w:val="000000" w:themeColor="text1"/>
          <w:sz w:val="20"/>
        </w:rPr>
        <w:t>2.</w:t>
      </w:r>
      <w:r w:rsidRPr="00CE5D2B">
        <w:rPr>
          <w:rFonts w:ascii="Arial" w:hAnsi="Arial" w:cs="Arial"/>
          <w:color w:val="000000"/>
          <w:sz w:val="20"/>
          <w:szCs w:val="20"/>
        </w:rPr>
        <w:t xml:space="preserve"> </w:t>
      </w:r>
      <w:proofErr w:type="spellStart"/>
      <w:r w:rsidRPr="00CE5D2B">
        <w:rPr>
          <w:rFonts w:ascii="Arial" w:hAnsi="Arial" w:cs="Arial"/>
          <w:color w:val="000000"/>
          <w:sz w:val="20"/>
          <w:szCs w:val="20"/>
        </w:rPr>
        <w:t>Ferrer</w:t>
      </w:r>
      <w:proofErr w:type="spellEnd"/>
      <w:r w:rsidRPr="00CE5D2B">
        <w:rPr>
          <w:rFonts w:ascii="Arial" w:hAnsi="Arial" w:cs="Arial"/>
          <w:color w:val="000000"/>
          <w:sz w:val="20"/>
          <w:szCs w:val="20"/>
        </w:rPr>
        <w:t xml:space="preserve">, M.; </w:t>
      </w:r>
      <w:proofErr w:type="spellStart"/>
      <w:r w:rsidRPr="00CE5D2B">
        <w:rPr>
          <w:rFonts w:ascii="Arial" w:hAnsi="Arial" w:cs="Arial"/>
          <w:color w:val="000000"/>
          <w:sz w:val="20"/>
          <w:szCs w:val="20"/>
        </w:rPr>
        <w:t>Echeverría</w:t>
      </w:r>
      <w:proofErr w:type="spellEnd"/>
      <w:r w:rsidRPr="00CE5D2B">
        <w:rPr>
          <w:rFonts w:ascii="Arial" w:hAnsi="Arial" w:cs="Arial"/>
          <w:color w:val="000000"/>
          <w:sz w:val="20"/>
          <w:szCs w:val="20"/>
        </w:rPr>
        <w:t xml:space="preserve">, G.; </w:t>
      </w:r>
      <w:r w:rsidRPr="00CE5D2B">
        <w:rPr>
          <w:rFonts w:ascii="Arial" w:hAnsi="Arial" w:cs="Arial"/>
          <w:color w:val="000000"/>
          <w:spacing w:val="-3"/>
          <w:sz w:val="20"/>
          <w:szCs w:val="20"/>
        </w:rPr>
        <w:t>González-</w:t>
      </w:r>
      <w:proofErr w:type="spellStart"/>
      <w:r w:rsidRPr="00CE5D2B">
        <w:rPr>
          <w:rFonts w:ascii="Arial" w:hAnsi="Arial" w:cs="Arial"/>
          <w:color w:val="000000"/>
          <w:spacing w:val="-3"/>
          <w:sz w:val="20"/>
          <w:szCs w:val="20"/>
        </w:rPr>
        <w:t>Neves</w:t>
      </w:r>
      <w:proofErr w:type="spellEnd"/>
      <w:r w:rsidRPr="00CE5D2B">
        <w:rPr>
          <w:rFonts w:ascii="Arial" w:hAnsi="Arial" w:cs="Arial"/>
          <w:color w:val="000000"/>
          <w:spacing w:val="-3"/>
          <w:sz w:val="20"/>
          <w:szCs w:val="20"/>
        </w:rPr>
        <w:t xml:space="preserve">, G. 2015. </w:t>
      </w:r>
      <w:r w:rsidRPr="00673663">
        <w:rPr>
          <w:rFonts w:ascii="Arial" w:hAnsi="Arial" w:cs="Arial"/>
          <w:color w:val="000000"/>
          <w:sz w:val="20"/>
          <w:szCs w:val="20"/>
          <w:lang w:eastAsia="es-UY"/>
        </w:rPr>
        <w:t xml:space="preserve">Influence of the microclimate defined by the training system on the vineyard </w:t>
      </w:r>
      <w:proofErr w:type="spellStart"/>
      <w:r w:rsidRPr="00673663">
        <w:rPr>
          <w:rFonts w:ascii="Arial" w:hAnsi="Arial" w:cs="Arial"/>
          <w:color w:val="000000"/>
          <w:sz w:val="20"/>
          <w:szCs w:val="20"/>
          <w:lang w:eastAsia="es-UY"/>
        </w:rPr>
        <w:t>behaviour</w:t>
      </w:r>
      <w:proofErr w:type="spellEnd"/>
      <w:r w:rsidRPr="00673663">
        <w:rPr>
          <w:rFonts w:ascii="Arial" w:hAnsi="Arial" w:cs="Arial"/>
          <w:color w:val="000000"/>
          <w:sz w:val="20"/>
          <w:szCs w:val="20"/>
          <w:lang w:eastAsia="es-UY"/>
        </w:rPr>
        <w:t xml:space="preserve"> and the oenological quality of Merlot grapes.</w:t>
      </w:r>
      <w:r w:rsidRPr="00673663">
        <w:rPr>
          <w:rFonts w:ascii="Arial" w:hAnsi="Arial" w:cs="Arial"/>
          <w:color w:val="000000"/>
          <w:sz w:val="20"/>
          <w:szCs w:val="20"/>
        </w:rPr>
        <w:t xml:space="preserve"> </w:t>
      </w:r>
      <w:r w:rsidRPr="00673663">
        <w:rPr>
          <w:rFonts w:ascii="Arial" w:hAnsi="Arial" w:cs="Arial"/>
          <w:iCs/>
          <w:color w:val="000000"/>
          <w:sz w:val="20"/>
          <w:szCs w:val="20"/>
          <w:lang w:eastAsia="es-UY"/>
        </w:rPr>
        <w:t xml:space="preserve">International Journal of Agricultural Sciences and Natural Resources </w:t>
      </w:r>
      <w:r w:rsidRPr="00673663">
        <w:rPr>
          <w:rFonts w:ascii="Arial" w:eastAsia="TimesNewRoman" w:hAnsi="Arial" w:cs="Arial"/>
          <w:color w:val="000000"/>
          <w:sz w:val="20"/>
          <w:szCs w:val="20"/>
          <w:lang w:eastAsia="es-UY"/>
        </w:rPr>
        <w:t>2(4)</w:t>
      </w:r>
      <w:r w:rsidR="001F00D8">
        <w:rPr>
          <w:rFonts w:ascii="Arial" w:eastAsia="TimesNewRoman" w:hAnsi="Arial" w:cs="Arial"/>
          <w:color w:val="000000"/>
          <w:sz w:val="20"/>
          <w:szCs w:val="20"/>
          <w:lang w:eastAsia="es-UY"/>
        </w:rPr>
        <w:t>,</w:t>
      </w:r>
      <w:r w:rsidRPr="00673663">
        <w:rPr>
          <w:rFonts w:ascii="Arial" w:eastAsia="TimesNewRoman" w:hAnsi="Arial" w:cs="Arial"/>
          <w:color w:val="000000"/>
          <w:sz w:val="20"/>
          <w:szCs w:val="20"/>
          <w:lang w:eastAsia="es-UY"/>
        </w:rPr>
        <w:t xml:space="preserve"> 95-108.</w:t>
      </w:r>
    </w:p>
    <w:p w:rsidR="00673663" w:rsidRPr="00673663" w:rsidRDefault="00673663" w:rsidP="00673663">
      <w:pPr>
        <w:autoSpaceDE w:val="0"/>
        <w:autoSpaceDN w:val="0"/>
        <w:spacing w:before="60" w:after="60"/>
        <w:jc w:val="both"/>
        <w:rPr>
          <w:rFonts w:ascii="Arial" w:hAnsi="Arial" w:cs="Arial"/>
          <w:color w:val="000000"/>
          <w:sz w:val="20"/>
          <w:szCs w:val="20"/>
        </w:rPr>
      </w:pPr>
      <w:r w:rsidRPr="00A32A45">
        <w:rPr>
          <w:rFonts w:ascii="Arial"/>
          <w:b/>
          <w:color w:val="000000" w:themeColor="text1"/>
          <w:sz w:val="20"/>
          <w:lang w:val="es-ES"/>
        </w:rPr>
        <w:t>3.</w:t>
      </w:r>
      <w:r w:rsidRPr="00A32A45">
        <w:rPr>
          <w:rFonts w:ascii="Arial" w:hAnsi="Arial" w:cs="Arial"/>
          <w:color w:val="000000"/>
          <w:spacing w:val="-3"/>
          <w:sz w:val="20"/>
          <w:szCs w:val="20"/>
          <w:lang w:val="es-ES"/>
        </w:rPr>
        <w:t xml:space="preserve"> González-</w:t>
      </w:r>
      <w:proofErr w:type="spellStart"/>
      <w:r w:rsidRPr="00A32A45">
        <w:rPr>
          <w:rFonts w:ascii="Arial" w:hAnsi="Arial" w:cs="Arial"/>
          <w:color w:val="000000"/>
          <w:spacing w:val="-3"/>
          <w:sz w:val="20"/>
          <w:szCs w:val="20"/>
          <w:lang w:val="es-ES"/>
        </w:rPr>
        <w:t>Neves</w:t>
      </w:r>
      <w:proofErr w:type="spellEnd"/>
      <w:r w:rsidRPr="00A32A45">
        <w:rPr>
          <w:rFonts w:ascii="Arial" w:hAnsi="Arial" w:cs="Arial"/>
          <w:color w:val="000000"/>
          <w:spacing w:val="-3"/>
          <w:sz w:val="20"/>
          <w:szCs w:val="20"/>
          <w:lang w:val="es-ES"/>
        </w:rPr>
        <w:t>, G.;</w:t>
      </w:r>
      <w:r w:rsidRPr="00A32A45">
        <w:rPr>
          <w:rFonts w:ascii="Arial" w:hAnsi="Arial" w:cs="Arial"/>
          <w:color w:val="000000"/>
          <w:sz w:val="20"/>
          <w:szCs w:val="20"/>
          <w:lang w:val="es-ES"/>
        </w:rPr>
        <w:t xml:space="preserve"> Gil, G.; </w:t>
      </w:r>
      <w:proofErr w:type="spellStart"/>
      <w:r w:rsidRPr="00A32A45">
        <w:rPr>
          <w:rFonts w:ascii="Arial" w:hAnsi="Arial" w:cs="Arial"/>
          <w:color w:val="000000"/>
          <w:spacing w:val="-3"/>
          <w:sz w:val="20"/>
          <w:szCs w:val="20"/>
          <w:lang w:val="es-ES"/>
        </w:rPr>
        <w:t>Favre</w:t>
      </w:r>
      <w:proofErr w:type="spellEnd"/>
      <w:r w:rsidRPr="00A32A45">
        <w:rPr>
          <w:rFonts w:ascii="Arial" w:hAnsi="Arial" w:cs="Arial"/>
          <w:color w:val="000000"/>
          <w:spacing w:val="-3"/>
          <w:sz w:val="20"/>
          <w:szCs w:val="20"/>
          <w:lang w:val="es-ES"/>
        </w:rPr>
        <w:t xml:space="preserve">, G.; Ferrer, M.; </w:t>
      </w:r>
      <w:proofErr w:type="spellStart"/>
      <w:r w:rsidRPr="00A32A45">
        <w:rPr>
          <w:rFonts w:ascii="Arial" w:hAnsi="Arial" w:cs="Arial"/>
          <w:color w:val="000000"/>
          <w:spacing w:val="-3"/>
          <w:sz w:val="20"/>
          <w:szCs w:val="20"/>
          <w:lang w:val="es-ES"/>
        </w:rPr>
        <w:t>Charamelo</w:t>
      </w:r>
      <w:proofErr w:type="spellEnd"/>
      <w:r w:rsidRPr="00A32A45">
        <w:rPr>
          <w:rFonts w:ascii="Arial" w:hAnsi="Arial" w:cs="Arial"/>
          <w:color w:val="000000"/>
          <w:spacing w:val="-3"/>
          <w:sz w:val="20"/>
          <w:szCs w:val="20"/>
          <w:lang w:val="es-ES"/>
        </w:rPr>
        <w:t xml:space="preserve">, D. 2015. </w:t>
      </w:r>
      <w:proofErr w:type="gramStart"/>
      <w:r w:rsidRPr="00673663">
        <w:rPr>
          <w:rFonts w:ascii="Arial" w:hAnsi="Arial" w:cs="Arial"/>
          <w:color w:val="000000"/>
          <w:sz w:val="20"/>
          <w:szCs w:val="20"/>
        </w:rPr>
        <w:t xml:space="preserve">Effect of cold pre-fermentative maceration </w:t>
      </w:r>
      <w:r w:rsidRPr="00673663">
        <w:rPr>
          <w:rFonts w:ascii="Arial" w:hAnsi="Arial" w:cs="Arial"/>
          <w:color w:val="000000"/>
          <w:sz w:val="20"/>
          <w:szCs w:val="20"/>
          <w:lang w:val="en-GB"/>
        </w:rPr>
        <w:t xml:space="preserve">on the </w:t>
      </w:r>
      <w:proofErr w:type="spellStart"/>
      <w:r w:rsidRPr="00673663">
        <w:rPr>
          <w:rFonts w:ascii="Arial" w:hAnsi="Arial" w:cs="Arial"/>
          <w:color w:val="000000"/>
          <w:sz w:val="20"/>
          <w:szCs w:val="20"/>
          <w:lang w:val="en-GB"/>
        </w:rPr>
        <w:t>color</w:t>
      </w:r>
      <w:proofErr w:type="spellEnd"/>
      <w:r w:rsidRPr="00673663">
        <w:rPr>
          <w:rFonts w:ascii="Arial" w:hAnsi="Arial" w:cs="Arial"/>
          <w:color w:val="000000"/>
          <w:sz w:val="20"/>
          <w:szCs w:val="20"/>
          <w:lang w:val="en-GB"/>
        </w:rPr>
        <w:t xml:space="preserve"> and composition of young red wines cv. </w:t>
      </w:r>
      <w:proofErr w:type="spellStart"/>
      <w:r w:rsidRPr="00673663">
        <w:rPr>
          <w:rFonts w:ascii="Arial" w:hAnsi="Arial" w:cs="Arial"/>
          <w:color w:val="000000"/>
          <w:sz w:val="20"/>
          <w:szCs w:val="20"/>
          <w:lang w:val="en-GB"/>
        </w:rPr>
        <w:t>Tannat</w:t>
      </w:r>
      <w:proofErr w:type="spellEnd"/>
      <w:r w:rsidRPr="00673663">
        <w:rPr>
          <w:rFonts w:ascii="Arial" w:hAnsi="Arial" w:cs="Arial"/>
          <w:color w:val="000000"/>
          <w:sz w:val="20"/>
          <w:szCs w:val="20"/>
          <w:lang w:val="en-GB"/>
        </w:rPr>
        <w:t>.</w:t>
      </w:r>
      <w:proofErr w:type="gramEnd"/>
      <w:r w:rsidRPr="00673663">
        <w:rPr>
          <w:rFonts w:ascii="Arial" w:hAnsi="Arial" w:cs="Arial"/>
          <w:color w:val="000000"/>
          <w:sz w:val="20"/>
          <w:szCs w:val="20"/>
          <w:lang w:val="en-GB"/>
        </w:rPr>
        <w:t xml:space="preserve"> </w:t>
      </w:r>
      <w:proofErr w:type="gramStart"/>
      <w:r w:rsidRPr="00673663">
        <w:rPr>
          <w:rFonts w:ascii="Arial" w:hAnsi="Arial" w:cs="Arial"/>
          <w:color w:val="000000"/>
          <w:sz w:val="20"/>
          <w:szCs w:val="20"/>
          <w:lang w:val="en-GB"/>
        </w:rPr>
        <w:t>Journal of Food Science and Technology 52(6)</w:t>
      </w:r>
      <w:r w:rsidR="001C3093">
        <w:rPr>
          <w:rFonts w:ascii="Arial" w:hAnsi="Arial" w:cs="Arial"/>
          <w:color w:val="000000"/>
          <w:sz w:val="20"/>
          <w:szCs w:val="20"/>
          <w:lang w:val="en-GB"/>
        </w:rPr>
        <w:t>,</w:t>
      </w:r>
      <w:r w:rsidRPr="00673663">
        <w:rPr>
          <w:rFonts w:ascii="Arial" w:hAnsi="Arial" w:cs="Arial"/>
          <w:color w:val="000000"/>
          <w:sz w:val="20"/>
          <w:szCs w:val="20"/>
          <w:lang w:val="en-GB"/>
        </w:rPr>
        <w:t xml:space="preserve"> 3449-3457.</w:t>
      </w:r>
      <w:proofErr w:type="gramEnd"/>
    </w:p>
    <w:p w:rsidR="003427F2" w:rsidRPr="00673663" w:rsidRDefault="003427F2" w:rsidP="00673663">
      <w:pPr>
        <w:autoSpaceDE w:val="0"/>
        <w:autoSpaceDN w:val="0"/>
        <w:spacing w:before="60" w:after="60"/>
        <w:jc w:val="both"/>
        <w:rPr>
          <w:rFonts w:ascii="Arial" w:hAnsi="Arial" w:cs="Arial"/>
          <w:color w:val="000000"/>
          <w:sz w:val="20"/>
          <w:szCs w:val="20"/>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0B0595">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25C4F" w:rsidRDefault="00A25C4F" w:rsidP="00404E5B">
      <w:pPr>
        <w:spacing w:before="92"/>
        <w:ind w:right="4234"/>
        <w:rPr>
          <w:rFonts w:ascii="Arial"/>
          <w:color w:val="BF5A14"/>
        </w:rPr>
      </w:pPr>
      <w:r>
        <w:rPr>
          <w:rFonts w:ascii="Arial"/>
          <w:noProof/>
          <w:color w:val="BF5A14"/>
          <w:lang w:val="es-ES" w:eastAsia="es-ES"/>
        </w:rPr>
        <w:drawing>
          <wp:inline distT="0" distB="0" distL="0" distR="0">
            <wp:extent cx="622800" cy="698400"/>
            <wp:effectExtent l="0" t="0" r="0" b="0"/>
            <wp:docPr id="6" name="Imagen 6" descr="C:\Users\Gustavo\Documents\FOTOS\Macrowine 201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ustavo\Documents\FOTOS\Macrowine 2016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2800" cy="69840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Pr="002C3841" w:rsidRDefault="00CE5D2B">
      <w:pPr>
        <w:spacing w:before="41" w:line="154" w:lineRule="exact"/>
        <w:ind w:left="213" w:right="231"/>
        <w:jc w:val="both"/>
        <w:rPr>
          <w:rFonts w:ascii="Arial"/>
          <w:sz w:val="14"/>
          <w:lang w:val="es-ES"/>
        </w:rPr>
      </w:pPr>
      <w:proofErr w:type="gramStart"/>
      <w:r>
        <w:rPr>
          <w:rFonts w:ascii="Arial"/>
          <w:sz w:val="14"/>
        </w:rPr>
        <w:t>Professor of Enology.</w:t>
      </w:r>
      <w:proofErr w:type="gramEnd"/>
      <w:r>
        <w:rPr>
          <w:rFonts w:ascii="Arial"/>
          <w:sz w:val="14"/>
        </w:rPr>
        <w:t xml:space="preserve"> </w:t>
      </w:r>
      <w:proofErr w:type="gramStart"/>
      <w:r w:rsidR="00A32A45">
        <w:rPr>
          <w:rFonts w:ascii="Arial"/>
          <w:sz w:val="14"/>
        </w:rPr>
        <w:t>Department of Food Technology.</w:t>
      </w:r>
      <w:proofErr w:type="gramEnd"/>
      <w:r w:rsidR="00A32A45">
        <w:rPr>
          <w:rFonts w:ascii="Arial"/>
          <w:sz w:val="14"/>
        </w:rPr>
        <w:t xml:space="preserve"> </w:t>
      </w:r>
      <w:r w:rsidRPr="00A32A45">
        <w:rPr>
          <w:rFonts w:ascii="Arial"/>
          <w:sz w:val="14"/>
          <w:lang w:val="es-ES"/>
        </w:rPr>
        <w:t>Facultad de Agronom</w:t>
      </w:r>
      <w:r w:rsidRPr="00A32A45">
        <w:rPr>
          <w:rFonts w:ascii="Arial"/>
          <w:sz w:val="14"/>
          <w:lang w:val="es-ES"/>
        </w:rPr>
        <w:t>í</w:t>
      </w:r>
      <w:r w:rsidRPr="00A32A45">
        <w:rPr>
          <w:rFonts w:ascii="Arial"/>
          <w:sz w:val="14"/>
          <w:lang w:val="es-ES"/>
        </w:rPr>
        <w:t xml:space="preserve">a. </w:t>
      </w:r>
      <w:r w:rsidRPr="002C3841">
        <w:rPr>
          <w:rFonts w:ascii="Arial"/>
          <w:sz w:val="14"/>
          <w:lang w:val="es-ES"/>
        </w:rPr>
        <w:t>Universidad de la Rep</w:t>
      </w:r>
      <w:r w:rsidRPr="002C3841">
        <w:rPr>
          <w:rFonts w:ascii="Arial"/>
          <w:sz w:val="14"/>
          <w:lang w:val="es-ES"/>
        </w:rPr>
        <w:t>ú</w:t>
      </w:r>
      <w:r w:rsidR="00A25C4F" w:rsidRPr="002C3841">
        <w:rPr>
          <w:rFonts w:ascii="Arial"/>
          <w:sz w:val="14"/>
          <w:lang w:val="es-ES"/>
        </w:rPr>
        <w:t>blica,</w:t>
      </w:r>
      <w:r w:rsidRPr="002C3841">
        <w:rPr>
          <w:rFonts w:ascii="Arial"/>
          <w:sz w:val="14"/>
          <w:lang w:val="es-ES"/>
        </w:rPr>
        <w:t xml:space="preserve"> Uruguay. </w:t>
      </w:r>
      <w:r w:rsidRPr="00A32A45">
        <w:rPr>
          <w:rFonts w:ascii="Arial"/>
          <w:sz w:val="14"/>
        </w:rPr>
        <w:t xml:space="preserve">Since 1993. Dr. in Food Sciences. </w:t>
      </w:r>
      <w:proofErr w:type="gramStart"/>
      <w:r>
        <w:rPr>
          <w:rFonts w:ascii="Arial"/>
          <w:sz w:val="14"/>
        </w:rPr>
        <w:t>ENSAM.</w:t>
      </w:r>
      <w:proofErr w:type="gramEnd"/>
      <w:r>
        <w:rPr>
          <w:rFonts w:ascii="Arial"/>
          <w:sz w:val="14"/>
        </w:rPr>
        <w:t xml:space="preserve"> </w:t>
      </w:r>
      <w:proofErr w:type="spellStart"/>
      <w:r>
        <w:rPr>
          <w:rFonts w:ascii="Arial"/>
          <w:sz w:val="14"/>
        </w:rPr>
        <w:t>Universit</w:t>
      </w:r>
      <w:r>
        <w:rPr>
          <w:rFonts w:ascii="Arial"/>
          <w:sz w:val="14"/>
        </w:rPr>
        <w:t>é</w:t>
      </w:r>
      <w:proofErr w:type="spellEnd"/>
      <w:r>
        <w:rPr>
          <w:rFonts w:ascii="Arial"/>
          <w:sz w:val="14"/>
        </w:rPr>
        <w:t xml:space="preserve"> de Montpellier II</w:t>
      </w:r>
      <w:r w:rsidR="00A25C4F">
        <w:rPr>
          <w:rFonts w:ascii="Arial"/>
          <w:sz w:val="14"/>
        </w:rPr>
        <w:t>, France.</w:t>
      </w:r>
      <w:r>
        <w:rPr>
          <w:rFonts w:ascii="Arial"/>
          <w:sz w:val="14"/>
        </w:rPr>
        <w:t xml:space="preserve"> </w:t>
      </w:r>
      <w:r w:rsidRPr="00A32A45">
        <w:rPr>
          <w:rFonts w:ascii="Arial"/>
          <w:sz w:val="14"/>
          <w:lang w:val="es-ES"/>
        </w:rPr>
        <w:t xml:space="preserve">2005. Master in Viticulture and Enology. </w:t>
      </w:r>
      <w:r w:rsidRPr="00A25C4F">
        <w:rPr>
          <w:rFonts w:ascii="Arial"/>
          <w:sz w:val="14"/>
          <w:lang w:val="es-ES"/>
        </w:rPr>
        <w:t>Universidad Polit</w:t>
      </w:r>
      <w:r w:rsidRPr="00A25C4F">
        <w:rPr>
          <w:rFonts w:ascii="Arial"/>
          <w:sz w:val="14"/>
          <w:lang w:val="es-ES"/>
        </w:rPr>
        <w:t>é</w:t>
      </w:r>
      <w:r w:rsidRPr="00A25C4F">
        <w:rPr>
          <w:rFonts w:ascii="Arial"/>
          <w:sz w:val="14"/>
          <w:lang w:val="es-ES"/>
        </w:rPr>
        <w:t xml:space="preserve">cnica </w:t>
      </w:r>
      <w:r w:rsidR="00A25C4F" w:rsidRPr="00A25C4F">
        <w:rPr>
          <w:rFonts w:ascii="Arial"/>
          <w:sz w:val="14"/>
          <w:lang w:val="es-ES"/>
        </w:rPr>
        <w:t xml:space="preserve">de Madrid, </w:t>
      </w:r>
      <w:proofErr w:type="spellStart"/>
      <w:r w:rsidR="00A25C4F" w:rsidRPr="00A25C4F">
        <w:rPr>
          <w:rFonts w:ascii="Arial"/>
          <w:sz w:val="14"/>
          <w:lang w:val="es-ES"/>
        </w:rPr>
        <w:t>Spain</w:t>
      </w:r>
      <w:proofErr w:type="spellEnd"/>
      <w:r w:rsidR="00A25C4F" w:rsidRPr="00A25C4F">
        <w:rPr>
          <w:rFonts w:ascii="Arial"/>
          <w:sz w:val="14"/>
          <w:lang w:val="es-ES"/>
        </w:rPr>
        <w:t xml:space="preserve">. 1992. </w:t>
      </w:r>
      <w:proofErr w:type="spellStart"/>
      <w:r w:rsidR="00A25C4F" w:rsidRPr="00A25C4F">
        <w:rPr>
          <w:rFonts w:ascii="Arial"/>
          <w:sz w:val="14"/>
          <w:lang w:val="es-ES"/>
        </w:rPr>
        <w:t>Agricultural</w:t>
      </w:r>
      <w:proofErr w:type="spellEnd"/>
      <w:r w:rsidR="00A25C4F" w:rsidRPr="00A25C4F">
        <w:rPr>
          <w:rFonts w:ascii="Arial"/>
          <w:sz w:val="14"/>
          <w:lang w:val="es-ES"/>
        </w:rPr>
        <w:t xml:space="preserve"> </w:t>
      </w:r>
      <w:proofErr w:type="spellStart"/>
      <w:r w:rsidR="00A25C4F" w:rsidRPr="00A25C4F">
        <w:rPr>
          <w:rFonts w:ascii="Arial"/>
          <w:sz w:val="14"/>
          <w:lang w:val="es-ES"/>
        </w:rPr>
        <w:t>Engineer</w:t>
      </w:r>
      <w:proofErr w:type="spellEnd"/>
      <w:r w:rsidR="00A25C4F" w:rsidRPr="00A25C4F">
        <w:rPr>
          <w:rFonts w:ascii="Arial"/>
          <w:sz w:val="14"/>
          <w:lang w:val="es-ES"/>
        </w:rPr>
        <w:t>. Facultad de Agronom</w:t>
      </w:r>
      <w:r w:rsidR="00A25C4F" w:rsidRPr="00A25C4F">
        <w:rPr>
          <w:rFonts w:ascii="Arial"/>
          <w:sz w:val="14"/>
          <w:lang w:val="es-ES"/>
        </w:rPr>
        <w:t>í</w:t>
      </w:r>
      <w:r w:rsidR="00A25C4F" w:rsidRPr="00A25C4F">
        <w:rPr>
          <w:rFonts w:ascii="Arial"/>
          <w:sz w:val="14"/>
          <w:lang w:val="es-ES"/>
        </w:rPr>
        <w:t xml:space="preserve">a. </w:t>
      </w:r>
      <w:r w:rsidR="00A25C4F" w:rsidRPr="002C3841">
        <w:rPr>
          <w:rFonts w:ascii="Arial"/>
          <w:sz w:val="14"/>
          <w:lang w:val="es-ES"/>
        </w:rPr>
        <w:t>Universidad de la Rep</w:t>
      </w:r>
      <w:r w:rsidR="00A25C4F" w:rsidRPr="002C3841">
        <w:rPr>
          <w:rFonts w:ascii="Arial"/>
          <w:sz w:val="14"/>
          <w:lang w:val="es-ES"/>
        </w:rPr>
        <w:t>ú</w:t>
      </w:r>
      <w:r w:rsidR="00A25C4F" w:rsidRPr="002C3841">
        <w:rPr>
          <w:rFonts w:ascii="Arial"/>
          <w:sz w:val="14"/>
          <w:lang w:val="es-ES"/>
        </w:rPr>
        <w:t>blica, Uruguay. 1987.</w:t>
      </w:r>
    </w:p>
    <w:p w:rsidR="00CE5D2B" w:rsidRPr="002C3841" w:rsidRDefault="00CE5D2B" w:rsidP="00E72E58">
      <w:pPr>
        <w:autoSpaceDE w:val="0"/>
        <w:autoSpaceDN w:val="0"/>
        <w:adjustRightInd w:val="0"/>
        <w:rPr>
          <w:b/>
          <w:lang w:val="es-ES"/>
        </w:rPr>
      </w:pPr>
    </w:p>
    <w:p w:rsidR="00A0302E" w:rsidRPr="002C3841" w:rsidRDefault="00E72E58" w:rsidP="00E72E58">
      <w:pPr>
        <w:autoSpaceDE w:val="0"/>
        <w:autoSpaceDN w:val="0"/>
        <w:adjustRightInd w:val="0"/>
        <w:rPr>
          <w:rFonts w:ascii="Arial"/>
          <w:sz w:val="14"/>
          <w:lang w:val="es-ES"/>
        </w:rPr>
      </w:pPr>
      <w:proofErr w:type="spellStart"/>
      <w:r w:rsidRPr="002C3841">
        <w:rPr>
          <w:b/>
          <w:lang w:val="es-ES"/>
        </w:rPr>
        <w:t>Presenting</w:t>
      </w:r>
      <w:proofErr w:type="spellEnd"/>
      <w:r w:rsidRPr="002C3841">
        <w:rPr>
          <w:b/>
          <w:lang w:val="es-ES"/>
        </w:rPr>
        <w:t xml:space="preserve"> </w:t>
      </w:r>
      <w:proofErr w:type="spellStart"/>
      <w:r w:rsidRPr="002C3841">
        <w:rPr>
          <w:b/>
          <w:lang w:val="es-ES"/>
        </w:rPr>
        <w:t>author</w:t>
      </w:r>
      <w:proofErr w:type="spellEnd"/>
      <w:r w:rsidRPr="002C3841">
        <w:rPr>
          <w:b/>
          <w:lang w:val="es-ES"/>
        </w:rPr>
        <w:t xml:space="preserve"> </w:t>
      </w:r>
      <w:proofErr w:type="spellStart"/>
      <w:r w:rsidRPr="002C3841">
        <w:rPr>
          <w:b/>
          <w:lang w:val="es-ES"/>
        </w:rPr>
        <w:t>details</w:t>
      </w:r>
      <w:proofErr w:type="spellEnd"/>
      <w:r w:rsidRPr="002C3841">
        <w:rPr>
          <w:b/>
          <w:lang w:val="es-ES"/>
        </w:rPr>
        <w:t xml:space="preserve"> </w:t>
      </w:r>
      <w:r w:rsidRPr="002C3841">
        <w:rPr>
          <w:b/>
          <w:lang w:val="es-ES"/>
        </w:rPr>
        <w:br/>
      </w:r>
      <w:r w:rsidRPr="002C3841">
        <w:rPr>
          <w:rFonts w:ascii="Arial"/>
          <w:sz w:val="14"/>
          <w:lang w:val="es-ES"/>
        </w:rPr>
        <w:t xml:space="preserve">Full </w:t>
      </w:r>
      <w:proofErr w:type="spellStart"/>
      <w:r w:rsidRPr="002C3841">
        <w:rPr>
          <w:rFonts w:ascii="Arial"/>
          <w:sz w:val="14"/>
          <w:lang w:val="es-ES"/>
        </w:rPr>
        <w:t>name</w:t>
      </w:r>
      <w:proofErr w:type="spellEnd"/>
      <w:r w:rsidRPr="002C3841">
        <w:rPr>
          <w:rFonts w:ascii="Arial"/>
          <w:sz w:val="14"/>
          <w:lang w:val="es-ES"/>
        </w:rPr>
        <w:t xml:space="preserve">: </w:t>
      </w:r>
      <w:r w:rsidR="00673663" w:rsidRPr="002C3841">
        <w:rPr>
          <w:rFonts w:ascii="Arial"/>
          <w:sz w:val="14"/>
          <w:lang w:val="es-ES"/>
        </w:rPr>
        <w:t>Gustavo Gonz</w:t>
      </w:r>
      <w:r w:rsidR="00673663" w:rsidRPr="002C3841">
        <w:rPr>
          <w:rFonts w:ascii="Arial"/>
          <w:sz w:val="14"/>
          <w:lang w:val="es-ES"/>
        </w:rPr>
        <w:t>á</w:t>
      </w:r>
      <w:r w:rsidR="00673663" w:rsidRPr="002C3841">
        <w:rPr>
          <w:rFonts w:ascii="Arial"/>
          <w:sz w:val="14"/>
          <w:lang w:val="es-ES"/>
        </w:rPr>
        <w:t>lez-</w:t>
      </w:r>
      <w:proofErr w:type="spellStart"/>
      <w:r w:rsidR="00673663" w:rsidRPr="002C3841">
        <w:rPr>
          <w:rFonts w:ascii="Arial"/>
          <w:sz w:val="14"/>
          <w:lang w:val="es-ES"/>
        </w:rPr>
        <w:t>Neves</w:t>
      </w:r>
      <w:proofErr w:type="spellEnd"/>
    </w:p>
    <w:p w:rsidR="00E72E58" w:rsidRPr="001F00D8" w:rsidRDefault="00A0302E" w:rsidP="00E72E58">
      <w:pPr>
        <w:autoSpaceDE w:val="0"/>
        <w:autoSpaceDN w:val="0"/>
        <w:adjustRightInd w:val="0"/>
        <w:rPr>
          <w:rFonts w:ascii="Arial"/>
          <w:color w:val="000000" w:themeColor="text1"/>
          <w:sz w:val="14"/>
        </w:rPr>
      </w:pPr>
      <w:r>
        <w:rPr>
          <w:rFonts w:ascii="Arial"/>
          <w:sz w:val="14"/>
        </w:rPr>
        <w:t>Email:</w:t>
      </w:r>
      <w:r w:rsidR="00673663">
        <w:rPr>
          <w:rFonts w:ascii="Arial"/>
          <w:sz w:val="14"/>
        </w:rPr>
        <w:t xml:space="preserve"> gustavogn.fagro</w:t>
      </w:r>
      <w:r w:rsidR="00673663">
        <w:rPr>
          <w:sz w:val="14"/>
        </w:rPr>
        <w:t>@</w:t>
      </w:r>
      <w:r w:rsidR="00673663">
        <w:rPr>
          <w:rFonts w:ascii="Arial"/>
          <w:sz w:val="14"/>
        </w:rPr>
        <w:t>gmail.com</w:t>
      </w:r>
      <w:r w:rsidR="00E72E58" w:rsidRPr="00E72E58">
        <w:rPr>
          <w:rFonts w:ascii="Arial"/>
          <w:sz w:val="14"/>
        </w:rPr>
        <w:br/>
        <w:t>Contact number:</w:t>
      </w:r>
      <w:r w:rsidR="00673663">
        <w:rPr>
          <w:rFonts w:ascii="Arial"/>
          <w:sz w:val="14"/>
        </w:rPr>
        <w:t xml:space="preserve"> +598-</w:t>
      </w:r>
      <w:r w:rsidR="001F00D8">
        <w:rPr>
          <w:rFonts w:ascii="Arial"/>
          <w:sz w:val="14"/>
        </w:rPr>
        <w:t>98039948</w:t>
      </w:r>
      <w:r w:rsidR="00E72E58" w:rsidRPr="00E72E58">
        <w:rPr>
          <w:rFonts w:ascii="Arial"/>
          <w:sz w:val="14"/>
        </w:rPr>
        <w:br/>
        <w:t>Twitter account</w:t>
      </w:r>
      <w:proofErr w:type="gramStart"/>
      <w:r w:rsidR="00E72E58" w:rsidRPr="00E72E58">
        <w:rPr>
          <w:rFonts w:ascii="Arial"/>
          <w:sz w:val="14"/>
        </w:rPr>
        <w:t>:</w:t>
      </w:r>
      <w:proofErr w:type="gramEnd"/>
      <w:r w:rsidR="00E72E58" w:rsidRPr="00E72E58">
        <w:rPr>
          <w:rFonts w:ascii="Arial"/>
          <w:sz w:val="14"/>
        </w:rPr>
        <w:br/>
        <w:t>Linked In account:</w:t>
      </w:r>
      <w:r w:rsidR="001F00D8">
        <w:rPr>
          <w:rFonts w:ascii="Arial"/>
          <w:sz w:val="14"/>
        </w:rPr>
        <w:t xml:space="preserve"> Gustavo Gonz</w:t>
      </w:r>
      <w:r w:rsidR="001F00D8">
        <w:rPr>
          <w:rFonts w:ascii="Arial"/>
          <w:sz w:val="14"/>
        </w:rPr>
        <w:t>á</w:t>
      </w:r>
      <w:r w:rsidR="001F00D8">
        <w:rPr>
          <w:rFonts w:ascii="Arial"/>
          <w:sz w:val="14"/>
        </w:rPr>
        <w:t>lez-</w:t>
      </w:r>
      <w:proofErr w:type="spellStart"/>
      <w:r w:rsidR="001F00D8">
        <w:rPr>
          <w:rFonts w:ascii="Arial"/>
          <w:sz w:val="14"/>
        </w:rPr>
        <w:t>Neves</w:t>
      </w:r>
      <w:proofErr w:type="spellEnd"/>
    </w:p>
    <w:p w:rsidR="00E72E58" w:rsidRPr="00E72E58" w:rsidRDefault="00E72E58" w:rsidP="00E72E58">
      <w:pPr>
        <w:autoSpaceDE w:val="0"/>
        <w:autoSpaceDN w:val="0"/>
        <w:adjustRightInd w:val="0"/>
        <w:rPr>
          <w:rFonts w:ascii="Arial"/>
          <w:sz w:val="14"/>
        </w:rPr>
      </w:pPr>
      <w:r w:rsidRPr="001F00D8">
        <w:rPr>
          <w:rFonts w:ascii="Arial"/>
          <w:color w:val="000000" w:themeColor="text1"/>
          <w:sz w:val="14"/>
        </w:rPr>
        <w:t xml:space="preserve">Session name/ </w:t>
      </w:r>
      <w:r w:rsidRPr="001F00D8">
        <w:rPr>
          <w:rFonts w:ascii="Arial" w:hAnsi="Arial" w:cs="Arial"/>
          <w:color w:val="000000" w:themeColor="text1"/>
          <w:sz w:val="14"/>
          <w:szCs w:val="14"/>
        </w:rPr>
        <w:t>number:</w:t>
      </w:r>
      <w:r w:rsidR="001F00D8" w:rsidRPr="001F00D8">
        <w:rPr>
          <w:rFonts w:ascii="Arial" w:hAnsi="Arial" w:cs="Arial"/>
          <w:color w:val="000000" w:themeColor="text1"/>
          <w:sz w:val="14"/>
          <w:szCs w:val="14"/>
        </w:rPr>
        <w:t xml:space="preserve"> </w:t>
      </w:r>
      <w:hyperlink r:id="rId12" w:tooltip="Food Processing, Preservation and Packaging" w:history="1">
        <w:r w:rsidR="001F00D8" w:rsidRPr="001F00D8">
          <w:rPr>
            <w:rStyle w:val="Hipervnculo"/>
            <w:rFonts w:ascii="Arial" w:hAnsi="Arial" w:cs="Arial"/>
            <w:bCs/>
            <w:color w:val="000000" w:themeColor="text1"/>
            <w:sz w:val="14"/>
            <w:szCs w:val="14"/>
            <w:u w:val="none"/>
          </w:rPr>
          <w:t>Food Processing, Preservation and Packaging</w:t>
        </w:r>
      </w:hyperlink>
      <w:r w:rsidRPr="00E72E58">
        <w:rPr>
          <w:rFonts w:ascii="Arial"/>
          <w:sz w:val="14"/>
        </w:rPr>
        <w:br/>
        <w:t xml:space="preserve">Category: </w:t>
      </w:r>
      <w:r w:rsidR="001F00D8">
        <w:rPr>
          <w:rFonts w:ascii="Arial"/>
          <w:sz w:val="14"/>
        </w:rPr>
        <w:t>Poster presentation</w:t>
      </w:r>
      <w:r w:rsidRPr="00E72E58">
        <w:rPr>
          <w:rFonts w:ascii="Arial"/>
          <w:sz w:val="14"/>
        </w:rPr>
        <w:br/>
      </w:r>
    </w:p>
    <w:p w:rsidR="00AE3E37" w:rsidRDefault="000B0595">
      <w:pPr>
        <w:pStyle w:val="Textoindependiente"/>
        <w:spacing w:before="2"/>
        <w:rPr>
          <w:rFonts w:ascii="Arial"/>
          <w:sz w:val="19"/>
        </w:rPr>
      </w:pPr>
      <w:r>
        <w:rPr>
          <w:noProof/>
          <w:lang w:val="es-ES" w:eastAsia="es-ES"/>
        </w:rPr>
        <mc:AlternateContent>
          <mc:Choice Requires="wps">
            <w:drawing>
              <wp:anchor distT="4294967295" distB="4294967295" distL="0" distR="0" simplePos="0" relativeHeight="1072" behindDoc="0" locked="0" layoutInCell="1" allowOverlap="1" wp14:anchorId="3E6CBAB7" wp14:editId="6C43CAFB">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72E58" w:rsidRPr="00A25C4F" w:rsidRDefault="00A9710C" w:rsidP="002C3841">
      <w:pPr>
        <w:spacing w:before="39"/>
        <w:ind w:left="100"/>
        <w:rPr>
          <w:rFonts w:ascii="Minion Pro"/>
          <w:sz w:val="20"/>
          <w:szCs w:val="20"/>
        </w:rPr>
        <w:sectPr w:rsidR="00E72E58" w:rsidRPr="00A25C4F" w:rsidSect="002C66C5">
          <w:type w:val="continuous"/>
          <w:pgSz w:w="11910" w:h="16840"/>
          <w:pgMar w:top="990" w:right="600" w:bottom="840" w:left="620" w:header="720" w:footer="720" w:gutter="0"/>
          <w:cols w:space="720"/>
        </w:sectPr>
      </w:pPr>
      <w:r w:rsidRPr="00B21A57">
        <w:rPr>
          <w:rFonts w:ascii="Minion Pro"/>
          <w:b/>
          <w:sz w:val="20"/>
        </w:rPr>
        <w:t>Notes/Comments:</w:t>
      </w:r>
      <w:r w:rsidR="002C3841">
        <w:rPr>
          <w:rFonts w:ascii="Minion Pro"/>
          <w:b/>
          <w:sz w:val="20"/>
        </w:rPr>
        <w:t xml:space="preserve"> </w:t>
      </w:r>
      <w:r w:rsidR="000B0595" w:rsidRPr="000B0595">
        <w:rPr>
          <w:rFonts w:ascii="Minion Pro"/>
          <w:sz w:val="20"/>
          <w:szCs w:val="20"/>
        </w:rPr>
        <w:t>Red wines are the most produced in Uruguay.</w:t>
      </w:r>
      <w:r w:rsidR="002C3841">
        <w:rPr>
          <w:rFonts w:ascii="Minion Pro"/>
          <w:sz w:val="20"/>
          <w:szCs w:val="20"/>
        </w:rPr>
        <w:t xml:space="preserve"> </w:t>
      </w:r>
      <w:proofErr w:type="spellStart"/>
      <w:r w:rsidR="000B0595" w:rsidRPr="000B0595">
        <w:rPr>
          <w:rFonts w:ascii="Minion Pro"/>
          <w:sz w:val="20"/>
          <w:szCs w:val="20"/>
        </w:rPr>
        <w:t>Tannat</w:t>
      </w:r>
      <w:proofErr w:type="spellEnd"/>
      <w:r w:rsidR="000B0595" w:rsidRPr="000B0595">
        <w:rPr>
          <w:rFonts w:ascii="Minion Pro"/>
          <w:sz w:val="20"/>
          <w:szCs w:val="20"/>
        </w:rPr>
        <w:t xml:space="preserve"> is the main grape variety grown in the country.</w:t>
      </w: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083" w:rsidRDefault="00430083">
      <w:r>
        <w:separator/>
      </w:r>
    </w:p>
  </w:endnote>
  <w:endnote w:type="continuationSeparator" w:id="0">
    <w:p w:rsidR="00430083" w:rsidRDefault="00430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B0595">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083" w:rsidRDefault="00430083">
      <w:r>
        <w:separator/>
      </w:r>
    </w:p>
  </w:footnote>
  <w:footnote w:type="continuationSeparator" w:id="0">
    <w:p w:rsidR="00430083" w:rsidRDefault="00430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B0595">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EB56594"/>
    <w:multiLevelType w:val="hybridMultilevel"/>
    <w:tmpl w:val="6A220468"/>
    <w:lvl w:ilvl="0" w:tplc="2C4244B4">
      <w:numFmt w:val="bullet"/>
      <w:lvlText w:val=""/>
      <w:legacy w:legacy="1" w:legacySpace="120" w:legacyIndent="360"/>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15ED"/>
    <w:rsid w:val="00041CDB"/>
    <w:rsid w:val="000477E1"/>
    <w:rsid w:val="00062347"/>
    <w:rsid w:val="000B0595"/>
    <w:rsid w:val="000E2911"/>
    <w:rsid w:val="001263DF"/>
    <w:rsid w:val="001C3093"/>
    <w:rsid w:val="001F00D8"/>
    <w:rsid w:val="00292ED9"/>
    <w:rsid w:val="002C3841"/>
    <w:rsid w:val="002C66C5"/>
    <w:rsid w:val="002D5BEE"/>
    <w:rsid w:val="003427F2"/>
    <w:rsid w:val="003B5245"/>
    <w:rsid w:val="00404E5B"/>
    <w:rsid w:val="00414F7B"/>
    <w:rsid w:val="00430083"/>
    <w:rsid w:val="004355DC"/>
    <w:rsid w:val="004749B4"/>
    <w:rsid w:val="00494130"/>
    <w:rsid w:val="004F3523"/>
    <w:rsid w:val="005973B9"/>
    <w:rsid w:val="005B3A56"/>
    <w:rsid w:val="006060CE"/>
    <w:rsid w:val="0063497F"/>
    <w:rsid w:val="00673663"/>
    <w:rsid w:val="00752BCB"/>
    <w:rsid w:val="007C415C"/>
    <w:rsid w:val="00873DF0"/>
    <w:rsid w:val="008756E6"/>
    <w:rsid w:val="009B2D44"/>
    <w:rsid w:val="00A0302E"/>
    <w:rsid w:val="00A07E82"/>
    <w:rsid w:val="00A25C4F"/>
    <w:rsid w:val="00A32A45"/>
    <w:rsid w:val="00A9349F"/>
    <w:rsid w:val="00A9710C"/>
    <w:rsid w:val="00AE3E37"/>
    <w:rsid w:val="00B21A57"/>
    <w:rsid w:val="00B62583"/>
    <w:rsid w:val="00B759CA"/>
    <w:rsid w:val="00B9619F"/>
    <w:rsid w:val="00C33602"/>
    <w:rsid w:val="00CD6F55"/>
    <w:rsid w:val="00CE5D2B"/>
    <w:rsid w:val="00CF6E66"/>
    <w:rsid w:val="00DE3104"/>
    <w:rsid w:val="00DE3119"/>
    <w:rsid w:val="00E72E58"/>
    <w:rsid w:val="00E771B3"/>
    <w:rsid w:val="00EC4B96"/>
    <w:rsid w:val="00F12DC1"/>
    <w:rsid w:val="00F33904"/>
    <w:rsid w:val="00F72EEA"/>
    <w:rsid w:val="00F84CAE"/>
    <w:rsid w:val="00FB45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foodtechnology.conferenceseries.com/events-list/food-processing-preservation-and-packag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611</Words>
  <Characters>3363</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Gustavo</cp:lastModifiedBy>
  <cp:revision>5</cp:revision>
  <dcterms:created xsi:type="dcterms:W3CDTF">2017-06-30T22:13:00Z</dcterms:created>
  <dcterms:modified xsi:type="dcterms:W3CDTF">2017-07-01T00:04:00Z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