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FA5A4A" w:rsidP="00494130">
      <w:pPr>
        <w:pStyle w:val="Nagwek1"/>
        <w:spacing w:before="170"/>
        <w:ind w:left="0"/>
      </w:pPr>
      <w:r w:rsidRPr="0059279C">
        <w:rPr>
          <w:color w:val="4F81BD" w:themeColor="accent1"/>
        </w:rPr>
        <w:t xml:space="preserve">The effect of popular dietary supplements on the DHEA and </w:t>
      </w:r>
      <w:proofErr w:type="spellStart"/>
      <w:r w:rsidR="00C71E9B" w:rsidRPr="0059279C">
        <w:rPr>
          <w:color w:val="4F81BD" w:themeColor="accent1"/>
        </w:rPr>
        <w:t>cortisol</w:t>
      </w:r>
      <w:proofErr w:type="spellEnd"/>
      <w:r w:rsidR="00C71E9B" w:rsidRPr="0059279C">
        <w:rPr>
          <w:color w:val="4F81BD" w:themeColor="accent1"/>
        </w:rPr>
        <w:t xml:space="preserve"> </w:t>
      </w:r>
      <w:r w:rsidRPr="0059279C">
        <w:rPr>
          <w:color w:val="4F81BD" w:themeColor="accent1"/>
        </w:rPr>
        <w:t xml:space="preserve">levels in </w:t>
      </w:r>
      <w:r w:rsidR="00C71E9B" w:rsidRPr="0059279C">
        <w:rPr>
          <w:color w:val="4F81BD" w:themeColor="accent1"/>
        </w:rPr>
        <w:t>saliva of surveyed athletes</w:t>
      </w:r>
      <w:r w:rsidR="00F33904">
        <w:rPr>
          <w:color w:val="337AB7"/>
        </w:rPr>
        <w:t xml:space="preserve"> </w:t>
      </w:r>
      <w:bookmarkStart w:id="0" w:name="_GoBack"/>
      <w:bookmarkEnd w:id="0"/>
    </w:p>
    <w:p w:rsidR="00781749" w:rsidRPr="00A347B1" w:rsidRDefault="00781749" w:rsidP="005973B9">
      <w:pPr>
        <w:pStyle w:val="Tekstpodstawowy"/>
        <w:spacing w:before="73" w:line="198" w:lineRule="exact"/>
        <w:ind w:left="100" w:right="5987"/>
        <w:rPr>
          <w:rFonts w:ascii="Arial"/>
        </w:rPr>
      </w:pPr>
    </w:p>
    <w:p w:rsidR="005973B9" w:rsidRPr="00926B2B" w:rsidRDefault="0059279C" w:rsidP="005973B9">
      <w:pPr>
        <w:pStyle w:val="Tekstpodstawowy"/>
        <w:spacing w:before="73" w:line="198" w:lineRule="exact"/>
        <w:ind w:left="100" w:right="5987"/>
        <w:rPr>
          <w:rFonts w:ascii="Arial"/>
          <w:sz w:val="16"/>
          <w:szCs w:val="16"/>
          <w:lang w:val="pl-PL"/>
        </w:rPr>
      </w:pPr>
      <w:r w:rsidRPr="00926B2B">
        <w:rPr>
          <w:rFonts w:ascii="Arial"/>
          <w:sz w:val="16"/>
          <w:szCs w:val="16"/>
          <w:lang w:val="pl-PL"/>
        </w:rPr>
        <w:t>Marta Stachowicz</w:t>
      </w:r>
      <w:r w:rsidR="00926B2B">
        <w:rPr>
          <w:rFonts w:ascii="Arial"/>
          <w:sz w:val="16"/>
          <w:szCs w:val="16"/>
          <w:vertAlign w:val="superscript"/>
          <w:lang w:val="pl-PL"/>
        </w:rPr>
        <w:t>1</w:t>
      </w:r>
      <w:r w:rsidRPr="00926B2B">
        <w:rPr>
          <w:rFonts w:ascii="Arial"/>
          <w:sz w:val="16"/>
          <w:szCs w:val="16"/>
          <w:lang w:val="pl-PL"/>
        </w:rPr>
        <w:t xml:space="preserve">, </w:t>
      </w:r>
      <w:r w:rsidR="00926B2B" w:rsidRPr="00926B2B">
        <w:rPr>
          <w:rFonts w:ascii="Arial"/>
          <w:sz w:val="16"/>
          <w:szCs w:val="16"/>
          <w:lang w:val="pl-PL"/>
        </w:rPr>
        <w:t>Rafa</w:t>
      </w:r>
      <w:r w:rsidR="00926B2B" w:rsidRPr="00926B2B">
        <w:rPr>
          <w:rFonts w:ascii="Arial"/>
          <w:sz w:val="16"/>
          <w:szCs w:val="16"/>
          <w:lang w:val="pl-PL"/>
        </w:rPr>
        <w:t>ł</w:t>
      </w:r>
      <w:r w:rsidR="00926B2B" w:rsidRPr="00926B2B">
        <w:rPr>
          <w:rFonts w:ascii="Arial"/>
          <w:sz w:val="16"/>
          <w:szCs w:val="16"/>
          <w:lang w:val="pl-PL"/>
        </w:rPr>
        <w:t xml:space="preserve"> Bartoszewski</w:t>
      </w:r>
      <w:r w:rsidR="00926B2B">
        <w:rPr>
          <w:rFonts w:ascii="Arial"/>
          <w:sz w:val="16"/>
          <w:szCs w:val="16"/>
          <w:vertAlign w:val="superscript"/>
          <w:lang w:val="pl-PL"/>
        </w:rPr>
        <w:t>2</w:t>
      </w:r>
      <w:r w:rsidR="00926B2B" w:rsidRPr="00926B2B">
        <w:rPr>
          <w:rFonts w:ascii="Arial"/>
          <w:sz w:val="16"/>
          <w:szCs w:val="16"/>
          <w:lang w:val="pl-PL"/>
        </w:rPr>
        <w:t xml:space="preserve">, Anna </w:t>
      </w:r>
      <w:r w:rsidRPr="00926B2B">
        <w:rPr>
          <w:rFonts w:ascii="Arial"/>
          <w:sz w:val="16"/>
          <w:szCs w:val="16"/>
          <w:lang w:val="pl-PL"/>
        </w:rPr>
        <w:t>Lebiedzi</w:t>
      </w:r>
      <w:r w:rsidRPr="00926B2B">
        <w:rPr>
          <w:rFonts w:ascii="Arial"/>
          <w:sz w:val="16"/>
          <w:szCs w:val="16"/>
          <w:lang w:val="pl-PL"/>
        </w:rPr>
        <w:t>ń</w:t>
      </w:r>
      <w:r w:rsidRPr="00926B2B">
        <w:rPr>
          <w:rFonts w:ascii="Arial"/>
          <w:sz w:val="16"/>
          <w:szCs w:val="16"/>
          <w:lang w:val="pl-PL"/>
        </w:rPr>
        <w:t>ska</w:t>
      </w:r>
      <w:r w:rsidR="00926B2B">
        <w:rPr>
          <w:rFonts w:ascii="Arial"/>
          <w:sz w:val="16"/>
          <w:szCs w:val="16"/>
          <w:vertAlign w:val="superscript"/>
          <w:lang w:val="pl-PL"/>
        </w:rPr>
        <w:t>1</w:t>
      </w:r>
      <w:r w:rsidRPr="00926B2B">
        <w:rPr>
          <w:rFonts w:ascii="Arial"/>
          <w:sz w:val="16"/>
          <w:szCs w:val="16"/>
          <w:lang w:val="pl-PL"/>
        </w:rPr>
        <w:t xml:space="preserve"> </w:t>
      </w:r>
    </w:p>
    <w:p w:rsidR="0059279C" w:rsidRDefault="00926B2B" w:rsidP="005973B9">
      <w:pPr>
        <w:pStyle w:val="Tekstpodstawowy"/>
        <w:spacing w:before="73" w:line="198" w:lineRule="exact"/>
        <w:ind w:left="100" w:right="5987"/>
        <w:rPr>
          <w:rStyle w:val="affiliationcountry"/>
          <w:rFonts w:ascii="Arial" w:hAnsi="Arial" w:cs="Arial"/>
          <w:sz w:val="16"/>
          <w:szCs w:val="16"/>
        </w:rPr>
      </w:pPr>
      <w:r w:rsidRPr="00926B2B">
        <w:rPr>
          <w:rStyle w:val="affiliationdepartment"/>
          <w:rFonts w:ascii="Arial" w:hAnsi="Arial" w:cs="Arial"/>
          <w:sz w:val="16"/>
          <w:szCs w:val="16"/>
          <w:vertAlign w:val="superscript"/>
        </w:rPr>
        <w:t>1</w:t>
      </w:r>
      <w:r w:rsidR="0059279C" w:rsidRPr="00926B2B">
        <w:rPr>
          <w:rStyle w:val="affiliationdepartment"/>
          <w:rFonts w:ascii="Arial" w:hAnsi="Arial" w:cs="Arial"/>
          <w:sz w:val="16"/>
          <w:szCs w:val="16"/>
        </w:rPr>
        <w:t xml:space="preserve">Department of Food Sciences, </w:t>
      </w:r>
      <w:r w:rsidR="0059279C" w:rsidRPr="00926B2B">
        <w:rPr>
          <w:rStyle w:val="affiliationname"/>
          <w:rFonts w:ascii="Arial" w:hAnsi="Arial" w:cs="Arial"/>
          <w:sz w:val="16"/>
          <w:szCs w:val="16"/>
        </w:rPr>
        <w:t xml:space="preserve">Medical University of Gdansk, </w:t>
      </w:r>
      <w:r w:rsidR="0059279C" w:rsidRPr="00926B2B">
        <w:rPr>
          <w:rStyle w:val="affiliationcity"/>
          <w:rFonts w:ascii="Arial" w:hAnsi="Arial" w:cs="Arial"/>
          <w:sz w:val="16"/>
          <w:szCs w:val="16"/>
        </w:rPr>
        <w:t xml:space="preserve">Gdansk, </w:t>
      </w:r>
      <w:r w:rsidR="0059279C" w:rsidRPr="00926B2B">
        <w:rPr>
          <w:rStyle w:val="affiliationcountry"/>
          <w:rFonts w:ascii="Arial" w:hAnsi="Arial" w:cs="Arial"/>
          <w:sz w:val="16"/>
          <w:szCs w:val="16"/>
        </w:rPr>
        <w:t>Poland</w:t>
      </w:r>
    </w:p>
    <w:p w:rsidR="00926B2B" w:rsidRPr="00926B2B" w:rsidRDefault="00926B2B" w:rsidP="005973B9">
      <w:pPr>
        <w:pStyle w:val="Tekstpodstawowy"/>
        <w:spacing w:before="73" w:line="198" w:lineRule="exact"/>
        <w:ind w:left="100" w:right="598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2</w:t>
      </w:r>
      <w:r>
        <w:rPr>
          <w:rFonts w:ascii="Arial" w:hAnsi="Arial" w:cs="Arial"/>
          <w:sz w:val="16"/>
          <w:szCs w:val="16"/>
        </w:rPr>
        <w:t>Department of Biology and Pharmaceutical Botany of Medical University of Gdansk, Poland</w:t>
      </w:r>
    </w:p>
    <w:p w:rsidR="00AE3E37" w:rsidRPr="0059279C" w:rsidRDefault="00AE3E37">
      <w:pPr>
        <w:pStyle w:val="Tekstpodstawowy"/>
        <w:rPr>
          <w:rFonts w:ascii="Arial"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806"/>
      </w:tblGrid>
      <w:tr w:rsidR="00926B2B" w:rsidRPr="00926B2B" w:rsidTr="00926B2B">
        <w:trPr>
          <w:tblCellSpacing w:w="0" w:type="dxa"/>
        </w:trPr>
        <w:tc>
          <w:tcPr>
            <w:tcW w:w="0" w:type="auto"/>
            <w:tcBorders>
              <w:top w:val="single" w:sz="18" w:space="0" w:color="FFFFFF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26B2B" w:rsidRPr="00926B2B" w:rsidRDefault="0074130B" w:rsidP="00926B2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color w:val="BF5A14"/>
              </w:rPr>
              <w:t>Abstract</w:t>
            </w:r>
          </w:p>
        </w:tc>
      </w:tr>
    </w:tbl>
    <w:p w:rsidR="00AE3E37" w:rsidRPr="0059279C" w:rsidRDefault="00AE3E37">
      <w:pPr>
        <w:rPr>
          <w:rFonts w:ascii="Arial"/>
          <w:sz w:val="21"/>
        </w:rPr>
        <w:sectPr w:rsidR="00AE3E37" w:rsidRPr="0059279C" w:rsidSect="00CF6E66">
          <w:headerReference w:type="default" r:id="rId7"/>
          <w:footerReference w:type="default" r:id="rId8"/>
          <w:type w:val="continuous"/>
          <w:pgSz w:w="11910" w:h="16840"/>
          <w:pgMar w:top="990" w:right="600" w:bottom="840" w:left="620" w:header="541" w:footer="642" w:gutter="0"/>
          <w:cols w:space="720"/>
        </w:sectPr>
      </w:pPr>
    </w:p>
    <w:p w:rsidR="000D761F" w:rsidRDefault="00445F18" w:rsidP="000D761F">
      <w:pPr>
        <w:pStyle w:val="Tekstpodstawowy"/>
        <w:spacing w:before="90" w:line="280" w:lineRule="auto"/>
        <w:ind w:left="100"/>
        <w:jc w:val="both"/>
        <w:rPr>
          <w:rFonts w:cs="Arial"/>
        </w:rPr>
      </w:pPr>
      <w:r w:rsidRPr="00142FC5">
        <w:rPr>
          <w:rFonts w:cs="Arial"/>
        </w:rPr>
        <w:lastRenderedPageBreak/>
        <w:t>Nowadays, there is pressure in the society to achieve more and more</w:t>
      </w:r>
      <w:r w:rsidR="00CC4E8C" w:rsidRPr="00142FC5">
        <w:rPr>
          <w:rFonts w:cs="Arial"/>
        </w:rPr>
        <w:t xml:space="preserve"> spectacular</w:t>
      </w:r>
      <w:r w:rsidRPr="00142FC5">
        <w:rPr>
          <w:rFonts w:cs="Arial"/>
        </w:rPr>
        <w:t xml:space="preserve"> sports results.</w:t>
      </w:r>
      <w:r w:rsidR="00CC4E8C" w:rsidRPr="00142FC5">
        <w:rPr>
          <w:rFonts w:cs="Arial"/>
        </w:rPr>
        <w:t xml:space="preserve"> Active people often reach for exogenous hormones to accelerate the process of adaptation of the organism to the effort and to achieve satisfactory results. One of them is sold as a diet supplement </w:t>
      </w:r>
      <w:proofErr w:type="spellStart"/>
      <w:r w:rsidR="00CC4E8C" w:rsidRPr="00142FC5">
        <w:rPr>
          <w:rFonts w:cs="Arial"/>
        </w:rPr>
        <w:t>dehydroepiandrostendion</w:t>
      </w:r>
      <w:proofErr w:type="spellEnd"/>
      <w:r w:rsidR="00CC4E8C" w:rsidRPr="00142FC5">
        <w:rPr>
          <w:rFonts w:cs="Arial"/>
        </w:rPr>
        <w:t xml:space="preserve"> (DHEA). The aim of the study was to determine the effect of DHEA supplementation by athletes on the concentration of </w:t>
      </w:r>
      <w:proofErr w:type="spellStart"/>
      <w:r w:rsidR="00CC4E8C" w:rsidRPr="00142FC5">
        <w:rPr>
          <w:rFonts w:cs="Arial"/>
        </w:rPr>
        <w:t>dehydroepiandrostendione</w:t>
      </w:r>
      <w:proofErr w:type="spellEnd"/>
      <w:r w:rsidR="00CC4E8C" w:rsidRPr="00142FC5">
        <w:rPr>
          <w:rFonts w:cs="Arial"/>
        </w:rPr>
        <w:t xml:space="preserve"> and </w:t>
      </w:r>
      <w:proofErr w:type="spellStart"/>
      <w:r w:rsidR="00CC4E8C" w:rsidRPr="00142FC5">
        <w:rPr>
          <w:rFonts w:cs="Arial"/>
        </w:rPr>
        <w:t>cortisol</w:t>
      </w:r>
      <w:proofErr w:type="spellEnd"/>
      <w:r w:rsidR="00CC4E8C" w:rsidRPr="00142FC5">
        <w:rPr>
          <w:rFonts w:cs="Arial"/>
        </w:rPr>
        <w:t xml:space="preserve"> in their body.</w:t>
      </w:r>
      <w:r w:rsidR="004B78BA" w:rsidRPr="00142FC5">
        <w:rPr>
          <w:rFonts w:cs="Arial"/>
        </w:rPr>
        <w:t xml:space="preserve"> For study 13 athletes aged 21-33, that declared DHEA supplementation were selected. Levels of hormones were tested before (2 weeks) and during (4 weeks) supplementation with DEMEDITEC ELISA immunoassays.</w:t>
      </w:r>
      <w:r w:rsidR="00981232" w:rsidRPr="00142FC5">
        <w:rPr>
          <w:rFonts w:cs="Arial"/>
        </w:rPr>
        <w:t xml:space="preserve"> Samples were collected as recommended by the producer, weekly on Saturday at 10 am.</w:t>
      </w:r>
      <w:r w:rsidR="004B78BA" w:rsidRPr="00142FC5">
        <w:rPr>
          <w:rFonts w:cs="Arial"/>
        </w:rPr>
        <w:t xml:space="preserve"> </w:t>
      </w:r>
      <w:r w:rsidR="00981232" w:rsidRPr="00142FC5">
        <w:rPr>
          <w:rStyle w:val="shorttext"/>
          <w:rFonts w:cs="Arial"/>
        </w:rPr>
        <w:t>STATISTICA 13 was used for statistical evaluation.</w:t>
      </w:r>
      <w:r w:rsidR="00981232" w:rsidRPr="00142FC5">
        <w:rPr>
          <w:rFonts w:cs="Arial"/>
        </w:rPr>
        <w:t xml:space="preserve"> </w:t>
      </w:r>
      <w:r w:rsidR="00A347B1">
        <w:t xml:space="preserve">The mean DHEA levels in the first two weeks of study prior to initiation of supplementation were 454,649 ± 277,143 (175,603 - 973, 441) and 778,920 ± 584,416 (221,102 - 1781,2) respectively. </w:t>
      </w:r>
      <w:r w:rsidR="00981232" w:rsidRPr="00142FC5">
        <w:rPr>
          <w:rFonts w:cs="Arial"/>
        </w:rPr>
        <w:t>After a week of application, the concentration of hormone increase</w:t>
      </w:r>
      <w:r w:rsidR="00A347B1">
        <w:rPr>
          <w:rFonts w:cs="Arial"/>
        </w:rPr>
        <w:t xml:space="preserve">d significantly in all subjects, </w:t>
      </w:r>
      <w:r w:rsidR="00A347B1">
        <w:t>Reaching an average of 3909,555 ± 5568,371 (509,249 - 20447,25).</w:t>
      </w:r>
      <w:r w:rsidR="00981232" w:rsidRPr="00142FC5">
        <w:rPr>
          <w:rFonts w:cs="Arial"/>
        </w:rPr>
        <w:t xml:space="preserve"> In the following weeks the amount of hormone fell. The greatest concentrations were achieved after one or two weeks of supplementation. After 4 weeks of use, the DHEA level returned to the pre-supplementation level, or for those who did not reach the normal range, reached a value suitable for age and gender.</w:t>
      </w:r>
      <w:r w:rsidR="004A3B48" w:rsidRPr="00142FC5">
        <w:rPr>
          <w:rFonts w:cs="Arial"/>
        </w:rPr>
        <w:t xml:space="preserve"> There were no changes in </w:t>
      </w:r>
      <w:proofErr w:type="spellStart"/>
      <w:r w:rsidR="004A3B48" w:rsidRPr="00142FC5">
        <w:rPr>
          <w:rFonts w:cs="Arial"/>
        </w:rPr>
        <w:t>cortisol</w:t>
      </w:r>
      <w:proofErr w:type="spellEnd"/>
      <w:r w:rsidR="004A3B48" w:rsidRPr="00142FC5">
        <w:rPr>
          <w:rFonts w:cs="Arial"/>
        </w:rPr>
        <w:t xml:space="preserve"> concentrations observed that could be associated with DHEA supplementation.</w:t>
      </w:r>
      <w:r w:rsidR="000D761F">
        <w:rPr>
          <w:rFonts w:cs="Arial"/>
        </w:rPr>
        <w:t xml:space="preserve"> </w:t>
      </w:r>
      <w:r w:rsidR="000D761F" w:rsidRPr="00142FC5">
        <w:rPr>
          <w:rFonts w:cs="Arial"/>
        </w:rPr>
        <w:t xml:space="preserve">Modifications in steroid hormone concentrations can </w:t>
      </w:r>
      <w:r w:rsidR="000D761F">
        <w:rPr>
          <w:rFonts w:cs="Arial"/>
        </w:rPr>
        <w:t>lead to</w:t>
      </w:r>
      <w:r w:rsidR="000D761F" w:rsidRPr="00142FC5">
        <w:rPr>
          <w:rFonts w:cs="Arial"/>
        </w:rPr>
        <w:t xml:space="preserve"> increase of athletes’ strength, performance and fitness, by affecting the muscle growth, bone density, nervous system regeneration, and others.</w:t>
      </w:r>
      <w:r w:rsidR="000D761F">
        <w:rPr>
          <w:rFonts w:cs="Arial"/>
        </w:rPr>
        <w:t xml:space="preserve"> </w:t>
      </w:r>
      <w:r w:rsidR="000D761F" w:rsidRPr="00142FC5">
        <w:rPr>
          <w:rFonts w:cs="Arial"/>
        </w:rPr>
        <w:t xml:space="preserve">Physical exercise, especially sports training, causes adaptive changes throughout the organism, including the motor, nervous and hormonal systems. </w:t>
      </w:r>
      <w:r w:rsidR="000D761F">
        <w:rPr>
          <w:rFonts w:cs="Arial"/>
        </w:rPr>
        <w:t xml:space="preserve"> </w:t>
      </w:r>
    </w:p>
    <w:p w:rsidR="0074130B" w:rsidRPr="0074130B" w:rsidRDefault="00A458C2" w:rsidP="0074130B">
      <w:pPr>
        <w:pStyle w:val="Tekstpodstawowy"/>
        <w:spacing w:before="90" w:line="280" w:lineRule="auto"/>
        <w:ind w:left="100"/>
        <w:jc w:val="both"/>
        <w:rPr>
          <w:rFonts w:cs="Arial"/>
        </w:rPr>
      </w:pPr>
      <w:r w:rsidRPr="00A458C2">
        <w:rPr>
          <w:rFonts w:ascii="Arial"/>
          <w:b/>
          <w:noProof/>
          <w:sz w:val="1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.2pt;margin-top:9.7pt;width:290.9pt;height:209.2pt;z-index:251658240">
            <v:textbox style="mso-next-textbox:#_x0000_s1029">
              <w:txbxContent>
                <w:p w:rsidR="00CF6E66" w:rsidRDefault="00600F75">
                  <w:r w:rsidRPr="00600F75">
                    <w:rPr>
                      <w:noProof/>
                      <w:lang w:val="pl-PL" w:eastAsia="pl-PL"/>
                    </w:rPr>
                    <w:drawing>
                      <wp:inline distT="0" distB="0" distL="0" distR="0">
                        <wp:extent cx="3194914" cy="2428647"/>
                        <wp:effectExtent l="19050" t="0" r="24536" b="0"/>
                        <wp:docPr id="1" name="Wykres 1"/>
                        <wp:cNvGraphicFramePr/>
                        <a:graphic xmlns:a="http://schemas.openxmlformats.org/drawingml/2006/main"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9"/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E3E37" w:rsidRDefault="00AE3E37">
      <w:pPr>
        <w:pStyle w:val="Tekstpodstawowy"/>
        <w:spacing w:before="2"/>
        <w:rPr>
          <w:rFonts w:ascii="Arial"/>
          <w:b/>
          <w:sz w:val="16"/>
        </w:rPr>
      </w:pP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A3B48" w:rsidRDefault="004A3B4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A3B48" w:rsidRDefault="004A3B4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A3B48" w:rsidRDefault="004A3B4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A3B48" w:rsidRDefault="004A3B4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A3B48" w:rsidRDefault="004A3B4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A3B48" w:rsidRDefault="004A3B4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A3B48" w:rsidRDefault="004A3B4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A3B48" w:rsidRDefault="004A3B4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A3B48" w:rsidRDefault="004A3B4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A3B48" w:rsidRDefault="004A3B4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A3B48" w:rsidRPr="000D761F" w:rsidRDefault="004A3B48" w:rsidP="005973B9">
      <w:pPr>
        <w:spacing w:line="204" w:lineRule="exact"/>
        <w:rPr>
          <w:rFonts w:ascii="Arial" w:hAnsi="Arial" w:cs="Arial"/>
          <w:sz w:val="16"/>
          <w:szCs w:val="16"/>
        </w:rPr>
      </w:pPr>
    </w:p>
    <w:p w:rsidR="000D761F" w:rsidRDefault="000D761F" w:rsidP="005973B9">
      <w:pPr>
        <w:spacing w:line="204" w:lineRule="exact"/>
        <w:rPr>
          <w:rFonts w:ascii="Arial" w:hAnsi="Arial" w:cs="Arial"/>
          <w:sz w:val="16"/>
          <w:szCs w:val="16"/>
        </w:rPr>
      </w:pPr>
      <w:r w:rsidRPr="000D761F">
        <w:rPr>
          <w:rFonts w:ascii="Arial" w:hAnsi="Arial" w:cs="Arial"/>
          <w:sz w:val="16"/>
          <w:szCs w:val="16"/>
        </w:rPr>
        <w:t xml:space="preserve">Fig. Exemplar changes in DHEA concentrations in saliva of </w:t>
      </w:r>
      <w:r w:rsidR="00C87530">
        <w:rPr>
          <w:rFonts w:ascii="Arial" w:hAnsi="Arial" w:cs="Arial"/>
          <w:sz w:val="16"/>
          <w:szCs w:val="16"/>
        </w:rPr>
        <w:t>athletes [pg/ml] for 6</w:t>
      </w:r>
      <w:r w:rsidRPr="000D761F">
        <w:rPr>
          <w:rFonts w:ascii="Arial" w:hAnsi="Arial" w:cs="Arial"/>
          <w:sz w:val="16"/>
          <w:szCs w:val="16"/>
        </w:rPr>
        <w:t xml:space="preserve"> weeks</w:t>
      </w:r>
    </w:p>
    <w:p w:rsidR="00C87530" w:rsidRPr="000D761F" w:rsidRDefault="00C87530" w:rsidP="005973B9">
      <w:pPr>
        <w:spacing w:line="204" w:lineRule="exact"/>
        <w:rPr>
          <w:rFonts w:ascii="Arial" w:hAnsi="Arial" w:cs="Arial"/>
          <w:sz w:val="16"/>
          <w:szCs w:val="16"/>
        </w:rPr>
      </w:pPr>
    </w:p>
    <w:p w:rsidR="00142FC5" w:rsidRPr="00926B2B" w:rsidRDefault="0074130B" w:rsidP="005973B9">
      <w:pPr>
        <w:spacing w:line="204" w:lineRule="exact"/>
        <w:rPr>
          <w:rFonts w:ascii="Arial"/>
          <w:color w:val="BF5A14"/>
          <w:sz w:val="20"/>
        </w:rPr>
      </w:pPr>
      <w:r>
        <w:rPr>
          <w:rFonts w:ascii="Arial"/>
          <w:b/>
          <w:color w:val="BF5A14"/>
          <w:sz w:val="20"/>
        </w:rPr>
        <w:t>List of Recent Publications</w:t>
      </w:r>
    </w:p>
    <w:p w:rsidR="00CF6E66" w:rsidRPr="00926B2B" w:rsidRDefault="00CF6E66" w:rsidP="005973B9">
      <w:pPr>
        <w:spacing w:line="204" w:lineRule="exact"/>
        <w:rPr>
          <w:rFonts w:ascii="Arial" w:hAnsi="Arial" w:cs="Arial"/>
          <w:sz w:val="16"/>
          <w:szCs w:val="16"/>
        </w:rPr>
      </w:pPr>
      <w:r w:rsidRPr="00926B2B">
        <w:rPr>
          <w:rFonts w:ascii="Arial"/>
          <w:b/>
          <w:color w:val="000000" w:themeColor="text1"/>
          <w:sz w:val="16"/>
          <w:szCs w:val="16"/>
        </w:rPr>
        <w:t>1.</w:t>
      </w:r>
      <w:r w:rsidR="004A3B48" w:rsidRPr="00926B2B">
        <w:rPr>
          <w:rFonts w:ascii="Arial"/>
          <w:b/>
          <w:color w:val="000000" w:themeColor="text1"/>
          <w:sz w:val="16"/>
          <w:szCs w:val="16"/>
        </w:rPr>
        <w:t xml:space="preserve"> </w:t>
      </w:r>
      <w:proofErr w:type="spellStart"/>
      <w:r w:rsidR="004A3B48" w:rsidRPr="00926B2B">
        <w:rPr>
          <w:rFonts w:ascii="Arial" w:hAnsi="Arial" w:cs="Arial"/>
          <w:color w:val="000000" w:themeColor="text1"/>
          <w:sz w:val="16"/>
          <w:szCs w:val="16"/>
        </w:rPr>
        <w:t>Stachowicz</w:t>
      </w:r>
      <w:proofErr w:type="spellEnd"/>
      <w:r w:rsidR="004A3B48" w:rsidRPr="00926B2B">
        <w:rPr>
          <w:rFonts w:ascii="Arial" w:hAnsi="Arial" w:cs="Arial"/>
          <w:color w:val="000000" w:themeColor="text1"/>
          <w:sz w:val="16"/>
          <w:szCs w:val="16"/>
        </w:rPr>
        <w:t xml:space="preserve"> M., </w:t>
      </w:r>
      <w:proofErr w:type="spellStart"/>
      <w:r w:rsidR="004A3B48" w:rsidRPr="00926B2B">
        <w:rPr>
          <w:rFonts w:ascii="Arial" w:hAnsi="Arial" w:cs="Arial"/>
          <w:color w:val="000000" w:themeColor="text1"/>
          <w:sz w:val="16"/>
          <w:szCs w:val="16"/>
        </w:rPr>
        <w:t>Lebiedzińska</w:t>
      </w:r>
      <w:proofErr w:type="spellEnd"/>
      <w:r w:rsidR="004A3B48" w:rsidRPr="00926B2B">
        <w:rPr>
          <w:rFonts w:ascii="Arial" w:hAnsi="Arial" w:cs="Arial"/>
          <w:color w:val="000000" w:themeColor="text1"/>
          <w:sz w:val="16"/>
          <w:szCs w:val="16"/>
        </w:rPr>
        <w:t xml:space="preserve"> A.: </w:t>
      </w:r>
      <w:r w:rsidR="004A3B48" w:rsidRPr="00926B2B">
        <w:rPr>
          <w:rFonts w:ascii="Arial" w:hAnsi="Arial" w:cs="Arial"/>
          <w:sz w:val="16"/>
          <w:szCs w:val="16"/>
        </w:rPr>
        <w:t xml:space="preserve">The effect of diet components on the level of </w:t>
      </w:r>
      <w:proofErr w:type="spellStart"/>
      <w:r w:rsidR="004A3B48" w:rsidRPr="00926B2B">
        <w:rPr>
          <w:rFonts w:ascii="Arial" w:hAnsi="Arial" w:cs="Arial"/>
          <w:sz w:val="16"/>
          <w:szCs w:val="16"/>
        </w:rPr>
        <w:t>cortisol</w:t>
      </w:r>
      <w:proofErr w:type="spellEnd"/>
      <w:r w:rsidR="0059279C" w:rsidRPr="00926B2B">
        <w:rPr>
          <w:rFonts w:ascii="Arial" w:hAnsi="Arial" w:cs="Arial"/>
          <w:sz w:val="16"/>
          <w:szCs w:val="16"/>
        </w:rPr>
        <w:t>, Eur. Food Res. Technol. 2016; 242(12): 2001-2009</w:t>
      </w:r>
    </w:p>
    <w:p w:rsidR="0059279C" w:rsidRPr="00926B2B" w:rsidRDefault="0059279C" w:rsidP="005973B9">
      <w:pPr>
        <w:spacing w:line="204" w:lineRule="exact"/>
        <w:rPr>
          <w:sz w:val="16"/>
          <w:szCs w:val="16"/>
        </w:rPr>
      </w:pPr>
      <w:r w:rsidRPr="00926B2B">
        <w:rPr>
          <w:rFonts w:ascii="Arial"/>
          <w:b/>
          <w:color w:val="000000" w:themeColor="text1"/>
          <w:sz w:val="16"/>
          <w:szCs w:val="16"/>
        </w:rPr>
        <w:t xml:space="preserve">2. </w:t>
      </w:r>
      <w:proofErr w:type="spellStart"/>
      <w:r w:rsidRPr="00926B2B">
        <w:rPr>
          <w:rFonts w:ascii="Arial" w:hAnsi="Arial" w:cs="Arial"/>
          <w:color w:val="000000" w:themeColor="text1"/>
          <w:sz w:val="16"/>
          <w:szCs w:val="16"/>
        </w:rPr>
        <w:t>Stachowicz</w:t>
      </w:r>
      <w:proofErr w:type="spellEnd"/>
      <w:r w:rsidRPr="00926B2B">
        <w:rPr>
          <w:rFonts w:ascii="Arial" w:hAnsi="Arial" w:cs="Arial"/>
          <w:color w:val="000000" w:themeColor="text1"/>
          <w:sz w:val="16"/>
          <w:szCs w:val="16"/>
        </w:rPr>
        <w:t xml:space="preserve"> M., </w:t>
      </w:r>
      <w:proofErr w:type="spellStart"/>
      <w:r w:rsidRPr="00926B2B">
        <w:rPr>
          <w:rFonts w:ascii="Arial" w:hAnsi="Arial" w:cs="Arial"/>
          <w:color w:val="000000" w:themeColor="text1"/>
          <w:sz w:val="16"/>
          <w:szCs w:val="16"/>
        </w:rPr>
        <w:t>Lebiedzińska</w:t>
      </w:r>
      <w:proofErr w:type="spellEnd"/>
      <w:r w:rsidRPr="00926B2B">
        <w:rPr>
          <w:rFonts w:ascii="Arial" w:hAnsi="Arial" w:cs="Arial"/>
          <w:color w:val="000000" w:themeColor="text1"/>
          <w:sz w:val="16"/>
          <w:szCs w:val="16"/>
        </w:rPr>
        <w:t xml:space="preserve"> A.: </w:t>
      </w:r>
      <w:r w:rsidRPr="00926B2B">
        <w:rPr>
          <w:rFonts w:ascii="Arial" w:hAnsi="Arial" w:cs="Arial"/>
          <w:sz w:val="16"/>
          <w:szCs w:val="16"/>
        </w:rPr>
        <w:t xml:space="preserve">The role of vitamin D in health preservation and </w:t>
      </w:r>
      <w:proofErr w:type="spellStart"/>
      <w:r w:rsidRPr="00926B2B">
        <w:rPr>
          <w:rFonts w:ascii="Arial" w:hAnsi="Arial" w:cs="Arial"/>
          <w:sz w:val="16"/>
          <w:szCs w:val="16"/>
        </w:rPr>
        <w:t>exertional</w:t>
      </w:r>
      <w:proofErr w:type="spellEnd"/>
      <w:r w:rsidRPr="00926B2B">
        <w:rPr>
          <w:rFonts w:ascii="Arial" w:hAnsi="Arial" w:cs="Arial"/>
          <w:sz w:val="16"/>
          <w:szCs w:val="16"/>
        </w:rPr>
        <w:t xml:space="preserve"> capacity of athletes, Post. </w:t>
      </w:r>
      <w:proofErr w:type="spellStart"/>
      <w:r w:rsidRPr="00926B2B">
        <w:rPr>
          <w:rFonts w:ascii="Arial" w:hAnsi="Arial" w:cs="Arial"/>
          <w:sz w:val="16"/>
          <w:szCs w:val="16"/>
        </w:rPr>
        <w:t>Hig</w:t>
      </w:r>
      <w:proofErr w:type="spellEnd"/>
      <w:r w:rsidRPr="00926B2B">
        <w:rPr>
          <w:rFonts w:ascii="Arial" w:hAnsi="Arial" w:cs="Arial"/>
          <w:sz w:val="16"/>
          <w:szCs w:val="16"/>
        </w:rPr>
        <w:t xml:space="preserve">. Med. </w:t>
      </w:r>
      <w:proofErr w:type="spellStart"/>
      <w:r w:rsidRPr="00926B2B">
        <w:rPr>
          <w:rFonts w:ascii="Arial" w:hAnsi="Arial" w:cs="Arial"/>
          <w:sz w:val="16"/>
          <w:szCs w:val="16"/>
        </w:rPr>
        <w:t>Dośw</w:t>
      </w:r>
      <w:proofErr w:type="spellEnd"/>
      <w:r w:rsidRPr="00926B2B">
        <w:rPr>
          <w:rFonts w:ascii="Arial" w:hAnsi="Arial" w:cs="Arial"/>
          <w:sz w:val="16"/>
          <w:szCs w:val="16"/>
        </w:rPr>
        <w:t>. 2016; 70: 637-643</w:t>
      </w:r>
    </w:p>
    <w:p w:rsidR="00CF6E66" w:rsidRPr="00926B2B" w:rsidRDefault="00CF6E66" w:rsidP="005973B9">
      <w:pPr>
        <w:spacing w:line="204" w:lineRule="exact"/>
        <w:rPr>
          <w:rFonts w:ascii="Arial"/>
          <w:b/>
          <w:color w:val="000000" w:themeColor="text1"/>
          <w:sz w:val="16"/>
          <w:szCs w:val="16"/>
        </w:rPr>
      </w:pPr>
      <w:r w:rsidRPr="00926B2B">
        <w:rPr>
          <w:rFonts w:ascii="Arial"/>
          <w:b/>
          <w:color w:val="000000" w:themeColor="text1"/>
          <w:sz w:val="16"/>
          <w:szCs w:val="16"/>
        </w:rPr>
        <w:t>3.</w:t>
      </w:r>
      <w:r w:rsidR="0059279C" w:rsidRPr="00926B2B">
        <w:rPr>
          <w:rFonts w:ascii="Arial"/>
          <w:b/>
          <w:color w:val="000000" w:themeColor="text1"/>
          <w:sz w:val="16"/>
          <w:szCs w:val="16"/>
        </w:rPr>
        <w:t xml:space="preserve"> </w:t>
      </w:r>
      <w:proofErr w:type="spellStart"/>
      <w:r w:rsidR="0059279C" w:rsidRPr="00926B2B">
        <w:rPr>
          <w:rFonts w:ascii="Arial" w:hAnsi="Arial" w:cs="Arial"/>
          <w:color w:val="000000" w:themeColor="text1"/>
          <w:sz w:val="16"/>
          <w:szCs w:val="16"/>
        </w:rPr>
        <w:t>Stachowicz</w:t>
      </w:r>
      <w:proofErr w:type="spellEnd"/>
      <w:r w:rsidR="0059279C" w:rsidRPr="00926B2B">
        <w:rPr>
          <w:rFonts w:ascii="Arial" w:hAnsi="Arial" w:cs="Arial"/>
          <w:color w:val="000000" w:themeColor="text1"/>
          <w:sz w:val="16"/>
          <w:szCs w:val="16"/>
        </w:rPr>
        <w:t xml:space="preserve"> M., </w:t>
      </w:r>
      <w:proofErr w:type="spellStart"/>
      <w:r w:rsidR="0059279C" w:rsidRPr="00926B2B">
        <w:rPr>
          <w:rFonts w:ascii="Arial" w:hAnsi="Arial" w:cs="Arial"/>
          <w:color w:val="000000" w:themeColor="text1"/>
          <w:sz w:val="16"/>
          <w:szCs w:val="16"/>
        </w:rPr>
        <w:t>Lebiedzińska</w:t>
      </w:r>
      <w:proofErr w:type="spellEnd"/>
      <w:r w:rsidR="0059279C" w:rsidRPr="00926B2B">
        <w:rPr>
          <w:rFonts w:ascii="Arial" w:hAnsi="Arial" w:cs="Arial"/>
          <w:color w:val="000000" w:themeColor="text1"/>
          <w:sz w:val="16"/>
          <w:szCs w:val="16"/>
        </w:rPr>
        <w:t xml:space="preserve"> A.: </w:t>
      </w:r>
      <w:r w:rsidR="0059279C" w:rsidRPr="00926B2B">
        <w:rPr>
          <w:rFonts w:ascii="Arial" w:hAnsi="Arial" w:cs="Arial"/>
          <w:sz w:val="16"/>
          <w:szCs w:val="16"/>
        </w:rPr>
        <w:t xml:space="preserve">Diet and testosterone in the athlete's body, </w:t>
      </w:r>
      <w:proofErr w:type="spellStart"/>
      <w:r w:rsidR="0059279C" w:rsidRPr="00926B2B">
        <w:rPr>
          <w:rFonts w:ascii="Arial" w:hAnsi="Arial" w:cs="Arial"/>
          <w:sz w:val="16"/>
          <w:szCs w:val="16"/>
        </w:rPr>
        <w:t>Bromat</w:t>
      </w:r>
      <w:proofErr w:type="spellEnd"/>
      <w:r w:rsidR="0059279C" w:rsidRPr="00926B2B">
        <w:rPr>
          <w:rFonts w:ascii="Arial" w:hAnsi="Arial" w:cs="Arial"/>
          <w:sz w:val="16"/>
          <w:szCs w:val="16"/>
        </w:rPr>
        <w:t xml:space="preserve">. Chem. </w:t>
      </w:r>
      <w:proofErr w:type="spellStart"/>
      <w:r w:rsidR="0059279C" w:rsidRPr="00926B2B">
        <w:rPr>
          <w:rFonts w:ascii="Arial" w:hAnsi="Arial" w:cs="Arial"/>
          <w:sz w:val="16"/>
          <w:szCs w:val="16"/>
        </w:rPr>
        <w:t>Toksykol</w:t>
      </w:r>
      <w:proofErr w:type="spellEnd"/>
      <w:r w:rsidR="0059279C" w:rsidRPr="00926B2B">
        <w:rPr>
          <w:rFonts w:ascii="Arial" w:hAnsi="Arial" w:cs="Arial"/>
          <w:sz w:val="16"/>
          <w:szCs w:val="16"/>
        </w:rPr>
        <w:t>. 2015; 48(1): 88-96</w:t>
      </w:r>
    </w:p>
    <w:p w:rsidR="00CF6E66" w:rsidRPr="00142FC5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  <w:szCs w:val="20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Tekstpodstawowy"/>
        <w:rPr>
          <w:rFonts w:ascii="Calibri"/>
          <w:sz w:val="20"/>
        </w:rPr>
      </w:pPr>
    </w:p>
    <w:p w:rsidR="00AE3E37" w:rsidRDefault="00A458C2">
      <w:pPr>
        <w:pStyle w:val="Tekstpodstawowy"/>
        <w:spacing w:line="40" w:lineRule="exact"/>
        <w:ind w:left="2202"/>
        <w:rPr>
          <w:rFonts w:ascii="Calibri"/>
          <w:sz w:val="4"/>
        </w:rPr>
      </w:pPr>
      <w:r w:rsidRPr="00A458C2">
        <w:rPr>
          <w:rFonts w:ascii="Calibri"/>
          <w:noProof/>
          <w:sz w:val="4"/>
          <w:lang w:val="en-IN" w:eastAsia="en-IN"/>
        </w:rPr>
      </w:r>
      <w:r w:rsidRPr="00A458C2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  <w:lang w:val="pl-PL" w:eastAsia="pl-PL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41203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Style w:val="shorttext"/>
          <w:rFonts w:ascii="Arial" w:hAnsi="Arial" w:cs="Arial"/>
          <w:sz w:val="14"/>
          <w:szCs w:val="14"/>
        </w:rPr>
        <w:t>Master of Pharmacy with practice in open and hospital pharmacy. C</w:t>
      </w:r>
      <w:r w:rsidRPr="0041203A">
        <w:rPr>
          <w:rStyle w:val="shorttext"/>
          <w:rFonts w:ascii="Arial" w:hAnsi="Arial" w:cs="Arial"/>
          <w:sz w:val="14"/>
          <w:szCs w:val="14"/>
        </w:rPr>
        <w:t xml:space="preserve">urrently Ph.D. student in </w:t>
      </w:r>
      <w:r w:rsidRPr="0041203A">
        <w:rPr>
          <w:rStyle w:val="affiliationdepartment"/>
          <w:rFonts w:ascii="Arial" w:hAnsi="Arial" w:cs="Arial"/>
          <w:sz w:val="14"/>
          <w:szCs w:val="14"/>
        </w:rPr>
        <w:t xml:space="preserve">Department of Food Sciences, </w:t>
      </w:r>
      <w:r>
        <w:rPr>
          <w:rStyle w:val="affiliationname"/>
          <w:rFonts w:ascii="Arial" w:hAnsi="Arial" w:cs="Arial"/>
          <w:sz w:val="14"/>
          <w:szCs w:val="14"/>
        </w:rPr>
        <w:t xml:space="preserve">Medical University of </w:t>
      </w:r>
      <w:proofErr w:type="spellStart"/>
      <w:r>
        <w:rPr>
          <w:rStyle w:val="affiliationname"/>
          <w:rFonts w:ascii="Arial" w:hAnsi="Arial" w:cs="Arial"/>
          <w:sz w:val="14"/>
          <w:szCs w:val="14"/>
        </w:rPr>
        <w:t>Gdań</w:t>
      </w:r>
      <w:r w:rsidRPr="0041203A">
        <w:rPr>
          <w:rStyle w:val="affiliationname"/>
          <w:rFonts w:ascii="Arial" w:hAnsi="Arial" w:cs="Arial"/>
          <w:sz w:val="14"/>
          <w:szCs w:val="14"/>
        </w:rPr>
        <w:t>sk</w:t>
      </w:r>
      <w:proofErr w:type="spellEnd"/>
      <w:r>
        <w:rPr>
          <w:rStyle w:val="affiliationname"/>
          <w:rFonts w:ascii="Arial" w:hAnsi="Arial" w:cs="Arial"/>
          <w:sz w:val="14"/>
          <w:szCs w:val="14"/>
        </w:rPr>
        <w:t>.</w:t>
      </w:r>
      <w:r w:rsidRPr="0041203A">
        <w:rPr>
          <w:rStyle w:val="affiliationname"/>
          <w:rFonts w:ascii="Arial" w:hAnsi="Arial" w:cs="Arial"/>
          <w:sz w:val="14"/>
          <w:szCs w:val="14"/>
        </w:rPr>
        <w:t xml:space="preserve"> </w:t>
      </w:r>
      <w:r w:rsidRPr="0041203A">
        <w:rPr>
          <w:rFonts w:ascii="Arial" w:hAnsi="Arial" w:cs="Arial"/>
          <w:sz w:val="14"/>
          <w:szCs w:val="14"/>
        </w:rPr>
        <w:t>The topic</w:t>
      </w:r>
      <w:r>
        <w:rPr>
          <w:rFonts w:ascii="Arial" w:hAnsi="Arial" w:cs="Arial"/>
          <w:sz w:val="14"/>
          <w:szCs w:val="14"/>
        </w:rPr>
        <w:t xml:space="preserve"> of work is related to the subject</w:t>
      </w:r>
      <w:r w:rsidRPr="0041203A">
        <w:rPr>
          <w:rFonts w:ascii="Arial" w:hAnsi="Arial" w:cs="Arial"/>
          <w:sz w:val="14"/>
          <w:szCs w:val="14"/>
        </w:rPr>
        <w:t xml:space="preserve"> of the dissertation.</w:t>
      </w:r>
      <w:r>
        <w:rPr>
          <w:rFonts w:ascii="Arial" w:hAnsi="Arial" w:cs="Arial"/>
          <w:sz w:val="14"/>
          <w:szCs w:val="14"/>
        </w:rPr>
        <w:t xml:space="preserve"> She is the author of publications about functions and levels of testosterone, </w:t>
      </w:r>
      <w:proofErr w:type="spellStart"/>
      <w:r>
        <w:rPr>
          <w:rFonts w:ascii="Arial" w:hAnsi="Arial" w:cs="Arial"/>
          <w:sz w:val="14"/>
          <w:szCs w:val="14"/>
        </w:rPr>
        <w:t>cortisol</w:t>
      </w:r>
      <w:proofErr w:type="spellEnd"/>
      <w:r>
        <w:rPr>
          <w:rFonts w:ascii="Arial" w:hAnsi="Arial" w:cs="Arial"/>
          <w:sz w:val="14"/>
          <w:szCs w:val="14"/>
        </w:rPr>
        <w:t xml:space="preserve"> and vitamin D in athletes bodies. She is also active athlete </w:t>
      </w:r>
      <w:r w:rsidR="00142FC5">
        <w:rPr>
          <w:rFonts w:ascii="Arial" w:hAnsi="Arial" w:cs="Arial"/>
          <w:sz w:val="14"/>
          <w:szCs w:val="14"/>
        </w:rPr>
        <w:t xml:space="preserve">with national and international successes </w:t>
      </w:r>
      <w:r>
        <w:rPr>
          <w:rFonts w:ascii="Arial" w:hAnsi="Arial" w:cs="Arial"/>
          <w:sz w:val="14"/>
          <w:szCs w:val="14"/>
        </w:rPr>
        <w:t>and trainer.</w:t>
      </w:r>
    </w:p>
    <w:p w:rsidR="00142FC5" w:rsidRDefault="00142FC5" w:rsidP="00E72E58">
      <w:pPr>
        <w:autoSpaceDE w:val="0"/>
        <w:autoSpaceDN w:val="0"/>
        <w:adjustRightInd w:val="0"/>
        <w:rPr>
          <w:b/>
          <w:lang w:val="en-NZ"/>
        </w:rPr>
      </w:pPr>
    </w:p>
    <w:p w:rsidR="00A0302E" w:rsidRDefault="00E72E58" w:rsidP="00E72E58">
      <w:pPr>
        <w:autoSpaceDE w:val="0"/>
        <w:autoSpaceDN w:val="0"/>
        <w:adjustRightInd w:val="0"/>
        <w:rPr>
          <w:rFonts w:ascii="Arial"/>
          <w:sz w:val="14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E72E58">
        <w:rPr>
          <w:rFonts w:ascii="Arial"/>
          <w:sz w:val="14"/>
        </w:rPr>
        <w:t xml:space="preserve">Full name: </w:t>
      </w:r>
      <w:r w:rsidR="006156EB">
        <w:rPr>
          <w:rFonts w:ascii="Arial"/>
          <w:sz w:val="14"/>
        </w:rPr>
        <w:t xml:space="preserve">Marta </w:t>
      </w:r>
      <w:proofErr w:type="spellStart"/>
      <w:r w:rsidR="006156EB">
        <w:rPr>
          <w:rFonts w:ascii="Arial"/>
          <w:sz w:val="14"/>
        </w:rPr>
        <w:t>Stachowicz</w:t>
      </w:r>
      <w:proofErr w:type="spellEnd"/>
    </w:p>
    <w:p w:rsidR="00E72E58" w:rsidRPr="00E72E58" w:rsidRDefault="00A0302E" w:rsidP="00E72E58">
      <w:pPr>
        <w:autoSpaceDE w:val="0"/>
        <w:autoSpaceDN w:val="0"/>
        <w:adjustRightInd w:val="0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6156EB">
        <w:rPr>
          <w:rFonts w:ascii="Arial"/>
          <w:sz w:val="14"/>
        </w:rPr>
        <w:t xml:space="preserve"> 1234@gumed.edu.pl</w:t>
      </w:r>
      <w:r w:rsidR="00E72E58" w:rsidRPr="00E72E58">
        <w:rPr>
          <w:rFonts w:ascii="Arial"/>
          <w:sz w:val="14"/>
        </w:rPr>
        <w:br/>
        <w:t>Contact number:</w:t>
      </w:r>
      <w:r w:rsidR="006156EB">
        <w:rPr>
          <w:rFonts w:ascii="Arial"/>
          <w:sz w:val="14"/>
        </w:rPr>
        <w:t xml:space="preserve"> +48 58</w:t>
      </w:r>
      <w:r w:rsidR="006156EB">
        <w:rPr>
          <w:rFonts w:ascii="Arial"/>
          <w:sz w:val="14"/>
        </w:rPr>
        <w:t> </w:t>
      </w:r>
      <w:r w:rsidR="006156EB">
        <w:rPr>
          <w:rFonts w:ascii="Arial"/>
          <w:sz w:val="14"/>
        </w:rPr>
        <w:t>349 10 89</w:t>
      </w:r>
      <w:r w:rsidR="00E72E58" w:rsidRPr="00E72E58">
        <w:rPr>
          <w:rFonts w:ascii="Arial"/>
          <w:sz w:val="14"/>
        </w:rPr>
        <w:br/>
        <w:t>Twitter account:</w:t>
      </w:r>
      <w:r w:rsidR="006156EB">
        <w:rPr>
          <w:rFonts w:ascii="Arial"/>
          <w:sz w:val="14"/>
        </w:rPr>
        <w:t xml:space="preserve"> -</w:t>
      </w:r>
      <w:r w:rsidR="00E72E58" w:rsidRPr="00E72E58">
        <w:rPr>
          <w:rFonts w:ascii="Arial"/>
          <w:sz w:val="14"/>
        </w:rPr>
        <w:br/>
        <w:t>Linked In account:</w:t>
      </w:r>
      <w:r w:rsidR="006156EB">
        <w:rPr>
          <w:rFonts w:ascii="Arial"/>
          <w:sz w:val="14"/>
        </w:rPr>
        <w:t xml:space="preserve"> - </w:t>
      </w:r>
    </w:p>
    <w:p w:rsidR="00E72E58" w:rsidRPr="00E72E58" w:rsidRDefault="00E72E58" w:rsidP="00E72E58">
      <w:pPr>
        <w:autoSpaceDE w:val="0"/>
        <w:autoSpaceDN w:val="0"/>
        <w:adjustRightInd w:val="0"/>
        <w:rPr>
          <w:rFonts w:ascii="Arial"/>
          <w:sz w:val="14"/>
        </w:rPr>
      </w:pPr>
      <w:r w:rsidRPr="00E72E58">
        <w:rPr>
          <w:rFonts w:ascii="Arial"/>
          <w:sz w:val="14"/>
        </w:rPr>
        <w:t>Session name/ number:</w:t>
      </w:r>
      <w:r w:rsidRPr="00E72E58">
        <w:rPr>
          <w:rFonts w:ascii="Arial"/>
          <w:sz w:val="14"/>
        </w:rPr>
        <w:br/>
        <w:t>Category: (Oral presentation/ Poster presentation)</w:t>
      </w:r>
      <w:r w:rsidRPr="00E72E58">
        <w:rPr>
          <w:rFonts w:ascii="Arial"/>
          <w:sz w:val="14"/>
        </w:rPr>
        <w:br/>
      </w:r>
    </w:p>
    <w:p w:rsidR="00AE3E37" w:rsidRDefault="00A458C2">
      <w:pPr>
        <w:pStyle w:val="Tekstpodstawowy"/>
        <w:spacing w:before="2"/>
        <w:rPr>
          <w:rFonts w:ascii="Arial"/>
          <w:sz w:val="19"/>
        </w:rPr>
      </w:pPr>
      <w:r w:rsidRPr="00A458C2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E72E58" w:rsidRDefault="00E72E58">
      <w:pPr>
        <w:rPr>
          <w:rFonts w:ascii="Minion Pro"/>
          <w:sz w:val="24"/>
        </w:rPr>
        <w:sectPr w:rsidR="00E72E58" w:rsidSect="002C66C5">
          <w:type w:val="continuous"/>
          <w:pgSz w:w="11910" w:h="16840"/>
          <w:pgMar w:top="990" w:right="600" w:bottom="840" w:left="620" w:header="720" w:footer="720" w:gutter="0"/>
          <w:cols w:space="720"/>
        </w:sectPr>
      </w:pPr>
    </w:p>
    <w:p w:rsidR="00AE3E37" w:rsidRDefault="00AE3E37">
      <w:pPr>
        <w:pStyle w:val="Tekstpodstawowy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A90" w:rsidRDefault="00302A90">
      <w:r>
        <w:separator/>
      </w:r>
    </w:p>
  </w:endnote>
  <w:endnote w:type="continuationSeparator" w:id="0">
    <w:p w:rsidR="00302A90" w:rsidRDefault="00302A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458C2">
    <w:pPr>
      <w:pStyle w:val="Tekstpodstawowy"/>
      <w:spacing w:line="14" w:lineRule="auto"/>
      <w:rPr>
        <w:sz w:val="20"/>
      </w:rPr>
    </w:pPr>
    <w:r w:rsidRPr="00A458C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A458C2">
      <w:rPr>
        <w:noProof/>
        <w:lang w:val="en-IN" w:eastAsia="en-IN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A458C2">
      <w:rPr>
        <w:noProof/>
        <w:lang w:val="en-IN" w:eastAsia="en-IN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A90" w:rsidRDefault="00302A90">
      <w:r>
        <w:separator/>
      </w:r>
    </w:p>
  </w:footnote>
  <w:footnote w:type="continuationSeparator" w:id="0">
    <w:p w:rsidR="00302A90" w:rsidRDefault="00302A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458C2">
    <w:pPr>
      <w:pStyle w:val="Tekstpodstawowy"/>
      <w:spacing w:line="14" w:lineRule="auto"/>
      <w:rPr>
        <w:sz w:val="20"/>
      </w:rPr>
    </w:pPr>
    <w:r w:rsidRPr="00A458C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Pai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A458C2">
      <w:rPr>
        <w:noProof/>
        <w:lang w:val="en-IN" w:eastAsia="en-IN"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Tekstpodstawowy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315ED"/>
    <w:rsid w:val="00041CDB"/>
    <w:rsid w:val="000477E1"/>
    <w:rsid w:val="000D761F"/>
    <w:rsid w:val="000E2911"/>
    <w:rsid w:val="001263DF"/>
    <w:rsid w:val="00142FC5"/>
    <w:rsid w:val="00292ED9"/>
    <w:rsid w:val="002C66C5"/>
    <w:rsid w:val="00302A90"/>
    <w:rsid w:val="003532AB"/>
    <w:rsid w:val="003A6EF1"/>
    <w:rsid w:val="003B5245"/>
    <w:rsid w:val="00404E5B"/>
    <w:rsid w:val="0041203A"/>
    <w:rsid w:val="00414F7B"/>
    <w:rsid w:val="004355DC"/>
    <w:rsid w:val="00445F18"/>
    <w:rsid w:val="0044794C"/>
    <w:rsid w:val="004749B4"/>
    <w:rsid w:val="00494130"/>
    <w:rsid w:val="004A3B48"/>
    <w:rsid w:val="004B78BA"/>
    <w:rsid w:val="004F3523"/>
    <w:rsid w:val="00506668"/>
    <w:rsid w:val="0059279C"/>
    <w:rsid w:val="005973B9"/>
    <w:rsid w:val="005B3A56"/>
    <w:rsid w:val="00600F75"/>
    <w:rsid w:val="006060CE"/>
    <w:rsid w:val="006156EB"/>
    <w:rsid w:val="0063497F"/>
    <w:rsid w:val="006B191C"/>
    <w:rsid w:val="0074130B"/>
    <w:rsid w:val="00752BCB"/>
    <w:rsid w:val="00781749"/>
    <w:rsid w:val="007C415C"/>
    <w:rsid w:val="0083641A"/>
    <w:rsid w:val="00873DF0"/>
    <w:rsid w:val="008756E6"/>
    <w:rsid w:val="00926B2B"/>
    <w:rsid w:val="00981232"/>
    <w:rsid w:val="009B2D44"/>
    <w:rsid w:val="00A0302E"/>
    <w:rsid w:val="00A07E82"/>
    <w:rsid w:val="00A347B1"/>
    <w:rsid w:val="00A458C2"/>
    <w:rsid w:val="00A9710C"/>
    <w:rsid w:val="00AE3E37"/>
    <w:rsid w:val="00B21A57"/>
    <w:rsid w:val="00B62583"/>
    <w:rsid w:val="00B759CA"/>
    <w:rsid w:val="00B9619F"/>
    <w:rsid w:val="00BC7236"/>
    <w:rsid w:val="00C33602"/>
    <w:rsid w:val="00C71E9B"/>
    <w:rsid w:val="00C87530"/>
    <w:rsid w:val="00CC4E8C"/>
    <w:rsid w:val="00CD6F55"/>
    <w:rsid w:val="00CF6E66"/>
    <w:rsid w:val="00D07913"/>
    <w:rsid w:val="00D53680"/>
    <w:rsid w:val="00DE3104"/>
    <w:rsid w:val="00E72E58"/>
    <w:rsid w:val="00E771B3"/>
    <w:rsid w:val="00EC4B96"/>
    <w:rsid w:val="00F10368"/>
    <w:rsid w:val="00F12DC1"/>
    <w:rsid w:val="00F33904"/>
    <w:rsid w:val="00F650C3"/>
    <w:rsid w:val="00F72EEA"/>
    <w:rsid w:val="00F84CAE"/>
    <w:rsid w:val="00FA5A4A"/>
    <w:rsid w:val="00FB4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horttext">
    <w:name w:val="short_text"/>
    <w:basedOn w:val="Domylnaczcionkaakapitu"/>
    <w:rsid w:val="00981232"/>
  </w:style>
  <w:style w:type="character" w:customStyle="1" w:styleId="affiliationdepartment">
    <w:name w:val="affiliation__department"/>
    <w:basedOn w:val="Domylnaczcionkaakapitu"/>
    <w:rsid w:val="0059279C"/>
  </w:style>
  <w:style w:type="character" w:customStyle="1" w:styleId="affiliationname">
    <w:name w:val="affiliation__name"/>
    <w:basedOn w:val="Domylnaczcionkaakapitu"/>
    <w:rsid w:val="0059279C"/>
  </w:style>
  <w:style w:type="character" w:customStyle="1" w:styleId="affiliationcity">
    <w:name w:val="affiliation__city"/>
    <w:basedOn w:val="Domylnaczcionkaakapitu"/>
    <w:rsid w:val="0059279C"/>
  </w:style>
  <w:style w:type="character" w:customStyle="1" w:styleId="affiliationcountry">
    <w:name w:val="affiliation__country"/>
    <w:basedOn w:val="Domylnaczcionkaakapitu"/>
    <w:rsid w:val="005927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Marta\Pulpit\21.02.2017\DHEA\DHEA%2021.02.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l-PL"/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pl-PL" sz="800" b="1" i="0" baseline="0"/>
              <a:t>Changes in DHEA concentrations in saliva of athletes [pg/ml] for 6 weeks </a:t>
            </a:r>
          </a:p>
        </c:rich>
      </c:tx>
    </c:title>
    <c:plotArea>
      <c:layout>
        <c:manualLayout>
          <c:layoutTarget val="inner"/>
          <c:xMode val="edge"/>
          <c:yMode val="edge"/>
          <c:x val="0.20735796657714362"/>
          <c:y val="0.16241573289703459"/>
          <c:w val="0.629322815366124"/>
          <c:h val="0.72047652987618571"/>
        </c:manualLayout>
      </c:layout>
      <c:lineChart>
        <c:grouping val="standard"/>
        <c:ser>
          <c:idx val="0"/>
          <c:order val="0"/>
          <c:tx>
            <c:strRef>
              <c:f>Arkusz1!$A$130</c:f>
              <c:strCache>
                <c:ptCount val="1"/>
                <c:pt idx="0">
                  <c:v>Aga</c:v>
                </c:pt>
              </c:strCache>
            </c:strRef>
          </c:tx>
          <c:spPr>
            <a:ln w="19050"/>
          </c:spPr>
          <c:marker>
            <c:symbol val="diamond"/>
            <c:size val="4"/>
          </c:marker>
          <c:cat>
            <c:strRef>
              <c:f>Arkusz1!$B$129:$G$129</c:f>
              <c:strCache>
                <c:ptCount val="6"/>
                <c:pt idx="0">
                  <c:v>14.01</c:v>
                </c:pt>
                <c:pt idx="1">
                  <c:v>21.01</c:v>
                </c:pt>
                <c:pt idx="2">
                  <c:v>28.01</c:v>
                </c:pt>
                <c:pt idx="3">
                  <c:v>4.02</c:v>
                </c:pt>
                <c:pt idx="4">
                  <c:v>11.02</c:v>
                </c:pt>
                <c:pt idx="5">
                  <c:v>18.02</c:v>
                </c:pt>
              </c:strCache>
            </c:strRef>
          </c:cat>
          <c:val>
            <c:numRef>
              <c:f>Arkusz1!$B$130:$G$130</c:f>
              <c:numCache>
                <c:formatCode>0.000</c:formatCode>
                <c:ptCount val="6"/>
                <c:pt idx="0">
                  <c:v>364.70580000000001</c:v>
                </c:pt>
                <c:pt idx="1">
                  <c:v>1467.578</c:v>
                </c:pt>
                <c:pt idx="2">
                  <c:v>1768.413</c:v>
                </c:pt>
                <c:pt idx="3">
                  <c:v>1117.4929999999999</c:v>
                </c:pt>
                <c:pt idx="4">
                  <c:v>403.25220000000002</c:v>
                </c:pt>
                <c:pt idx="5">
                  <c:v>473.48880000000003</c:v>
                </c:pt>
              </c:numCache>
            </c:numRef>
          </c:val>
        </c:ser>
        <c:ser>
          <c:idx val="2"/>
          <c:order val="1"/>
          <c:tx>
            <c:strRef>
              <c:f>Arkusz1!$A$132</c:f>
              <c:strCache>
                <c:ptCount val="1"/>
                <c:pt idx="0">
                  <c:v>Ruda</c:v>
                </c:pt>
              </c:strCache>
            </c:strRef>
          </c:tx>
          <c:spPr>
            <a:ln w="19050"/>
          </c:spPr>
          <c:marker>
            <c:symbol val="triangle"/>
            <c:size val="4"/>
          </c:marker>
          <c:cat>
            <c:strRef>
              <c:f>Arkusz1!$B$129:$G$129</c:f>
              <c:strCache>
                <c:ptCount val="6"/>
                <c:pt idx="0">
                  <c:v>14.01</c:v>
                </c:pt>
                <c:pt idx="1">
                  <c:v>21.01</c:v>
                </c:pt>
                <c:pt idx="2">
                  <c:v>28.01</c:v>
                </c:pt>
                <c:pt idx="3">
                  <c:v>4.02</c:v>
                </c:pt>
                <c:pt idx="4">
                  <c:v>11.02</c:v>
                </c:pt>
                <c:pt idx="5">
                  <c:v>18.02</c:v>
                </c:pt>
              </c:strCache>
            </c:strRef>
          </c:cat>
          <c:val>
            <c:numRef>
              <c:f>Arkusz1!$B$132:$G$132</c:f>
              <c:numCache>
                <c:formatCode>0.000</c:formatCode>
                <c:ptCount val="6"/>
                <c:pt idx="0">
                  <c:v>963.53420000000006</c:v>
                </c:pt>
                <c:pt idx="1">
                  <c:v>911.62990000000002</c:v>
                </c:pt>
                <c:pt idx="2">
                  <c:v>1312.5050000000001</c:v>
                </c:pt>
                <c:pt idx="3">
                  <c:v>2040.117</c:v>
                </c:pt>
                <c:pt idx="4">
                  <c:v>1022.645</c:v>
                </c:pt>
                <c:pt idx="5">
                  <c:v>577.3895</c:v>
                </c:pt>
              </c:numCache>
            </c:numRef>
          </c:val>
        </c:ser>
        <c:ser>
          <c:idx val="3"/>
          <c:order val="2"/>
          <c:tx>
            <c:strRef>
              <c:f>Arkusz1!$A$133</c:f>
              <c:strCache>
                <c:ptCount val="1"/>
                <c:pt idx="0">
                  <c:v>Gosia</c:v>
                </c:pt>
              </c:strCache>
            </c:strRef>
          </c:tx>
          <c:cat>
            <c:strRef>
              <c:f>Arkusz1!$B$129:$G$129</c:f>
              <c:strCache>
                <c:ptCount val="6"/>
                <c:pt idx="0">
                  <c:v>14.01</c:v>
                </c:pt>
                <c:pt idx="1">
                  <c:v>21.01</c:v>
                </c:pt>
                <c:pt idx="2">
                  <c:v>28.01</c:v>
                </c:pt>
                <c:pt idx="3">
                  <c:v>4.02</c:v>
                </c:pt>
                <c:pt idx="4">
                  <c:v>11.02</c:v>
                </c:pt>
                <c:pt idx="5">
                  <c:v>18.02</c:v>
                </c:pt>
              </c:strCache>
            </c:strRef>
          </c:cat>
          <c:val>
            <c:numRef>
              <c:f>Arkusz1!$B$133:$G$133</c:f>
              <c:numCache>
                <c:formatCode>0.000</c:formatCode>
                <c:ptCount val="6"/>
                <c:pt idx="0">
                  <c:v>391.34890000000001</c:v>
                </c:pt>
                <c:pt idx="1">
                  <c:v>216.7978</c:v>
                </c:pt>
                <c:pt idx="2">
                  <c:v>651.14030000000002</c:v>
                </c:pt>
                <c:pt idx="3">
                  <c:v>441.67910000000001</c:v>
                </c:pt>
                <c:pt idx="4">
                  <c:v>324.42699999999974</c:v>
                </c:pt>
                <c:pt idx="5">
                  <c:v>334.61020000000002</c:v>
                </c:pt>
              </c:numCache>
            </c:numRef>
          </c:val>
        </c:ser>
        <c:ser>
          <c:idx val="4"/>
          <c:order val="3"/>
          <c:tx>
            <c:strRef>
              <c:f>Arkusz1!$A$134</c:f>
              <c:strCache>
                <c:ptCount val="1"/>
                <c:pt idx="0">
                  <c:v>Alan</c:v>
                </c:pt>
              </c:strCache>
            </c:strRef>
          </c:tx>
          <c:spPr>
            <a:ln w="19050"/>
          </c:spPr>
          <c:marker>
            <c:symbol val="star"/>
            <c:size val="4"/>
          </c:marker>
          <c:cat>
            <c:strRef>
              <c:f>Arkusz1!$B$129:$G$129</c:f>
              <c:strCache>
                <c:ptCount val="6"/>
                <c:pt idx="0">
                  <c:v>14.01</c:v>
                </c:pt>
                <c:pt idx="1">
                  <c:v>21.01</c:v>
                </c:pt>
                <c:pt idx="2">
                  <c:v>28.01</c:v>
                </c:pt>
                <c:pt idx="3">
                  <c:v>4.02</c:v>
                </c:pt>
                <c:pt idx="4">
                  <c:v>11.02</c:v>
                </c:pt>
                <c:pt idx="5">
                  <c:v>18.02</c:v>
                </c:pt>
              </c:strCache>
            </c:strRef>
          </c:cat>
          <c:val>
            <c:numRef>
              <c:f>Arkusz1!$B$134:$G$134</c:f>
              <c:numCache>
                <c:formatCode>0.000</c:formatCode>
                <c:ptCount val="6"/>
                <c:pt idx="0">
                  <c:v>211.05760000000001</c:v>
                </c:pt>
                <c:pt idx="1">
                  <c:v>255.02840000000009</c:v>
                </c:pt>
                <c:pt idx="2">
                  <c:v>5550.4489999999996</c:v>
                </c:pt>
                <c:pt idx="3">
                  <c:v>371.5052</c:v>
                </c:pt>
                <c:pt idx="4">
                  <c:v>322.6662</c:v>
                </c:pt>
                <c:pt idx="5">
                  <c:v>133.3348</c:v>
                </c:pt>
              </c:numCache>
            </c:numRef>
          </c:val>
        </c:ser>
        <c:ser>
          <c:idx val="5"/>
          <c:order val="4"/>
          <c:tx>
            <c:strRef>
              <c:f>Arkusz1!$A$135</c:f>
              <c:strCache>
                <c:ptCount val="1"/>
                <c:pt idx="0">
                  <c:v>Grabol</c:v>
                </c:pt>
              </c:strCache>
            </c:strRef>
          </c:tx>
          <c:spPr>
            <a:ln w="19050"/>
          </c:spPr>
          <c:marker>
            <c:symbol val="circle"/>
            <c:size val="4"/>
          </c:marker>
          <c:cat>
            <c:strRef>
              <c:f>Arkusz1!$B$129:$G$129</c:f>
              <c:strCache>
                <c:ptCount val="6"/>
                <c:pt idx="0">
                  <c:v>14.01</c:v>
                </c:pt>
                <c:pt idx="1">
                  <c:v>21.01</c:v>
                </c:pt>
                <c:pt idx="2">
                  <c:v>28.01</c:v>
                </c:pt>
                <c:pt idx="3">
                  <c:v>4.02</c:v>
                </c:pt>
                <c:pt idx="4">
                  <c:v>11.02</c:v>
                </c:pt>
                <c:pt idx="5">
                  <c:v>18.02</c:v>
                </c:pt>
              </c:strCache>
            </c:strRef>
          </c:cat>
          <c:val>
            <c:numRef>
              <c:f>Arkusz1!$B$135:$G$135</c:f>
              <c:numCache>
                <c:formatCode>0.000</c:formatCode>
                <c:ptCount val="6"/>
                <c:pt idx="0">
                  <c:v>175.60339999999999</c:v>
                </c:pt>
                <c:pt idx="1">
                  <c:v>221.1019</c:v>
                </c:pt>
                <c:pt idx="2">
                  <c:v>829.20960000000002</c:v>
                </c:pt>
                <c:pt idx="4">
                  <c:v>653.95459999999969</c:v>
                </c:pt>
                <c:pt idx="5">
                  <c:v>278.37040000000002</c:v>
                </c:pt>
              </c:numCache>
            </c:numRef>
          </c:val>
        </c:ser>
        <c:ser>
          <c:idx val="7"/>
          <c:order val="5"/>
          <c:tx>
            <c:strRef>
              <c:f>Arkusz1!$A$137</c:f>
              <c:strCache>
                <c:ptCount val="1"/>
                <c:pt idx="0">
                  <c:v>Janek</c:v>
                </c:pt>
              </c:strCache>
            </c:strRef>
          </c:tx>
          <c:spPr>
            <a:ln w="19050"/>
          </c:spPr>
          <c:marker>
            <c:symbol val="dot"/>
            <c:size val="4"/>
          </c:marker>
          <c:cat>
            <c:strRef>
              <c:f>Arkusz1!$B$129:$G$129</c:f>
              <c:strCache>
                <c:ptCount val="6"/>
                <c:pt idx="0">
                  <c:v>14.01</c:v>
                </c:pt>
                <c:pt idx="1">
                  <c:v>21.01</c:v>
                </c:pt>
                <c:pt idx="2">
                  <c:v>28.01</c:v>
                </c:pt>
                <c:pt idx="3">
                  <c:v>4.02</c:v>
                </c:pt>
                <c:pt idx="4">
                  <c:v>11.02</c:v>
                </c:pt>
                <c:pt idx="5">
                  <c:v>18.02</c:v>
                </c:pt>
              </c:strCache>
            </c:strRef>
          </c:cat>
          <c:val>
            <c:numRef>
              <c:f>Arkusz1!$B$137:$G$137</c:f>
              <c:numCache>
                <c:formatCode>0.000</c:formatCode>
                <c:ptCount val="6"/>
                <c:pt idx="0">
                  <c:v>559.85729999999944</c:v>
                </c:pt>
                <c:pt idx="1">
                  <c:v>299.0926</c:v>
                </c:pt>
                <c:pt idx="2">
                  <c:v>3413.299</c:v>
                </c:pt>
                <c:pt idx="3">
                  <c:v>323.25189999999981</c:v>
                </c:pt>
                <c:pt idx="4">
                  <c:v>477.1979</c:v>
                </c:pt>
              </c:numCache>
            </c:numRef>
          </c:val>
        </c:ser>
        <c:ser>
          <c:idx val="8"/>
          <c:order val="6"/>
          <c:tx>
            <c:strRef>
              <c:f>Arkusz1!$A$139</c:f>
              <c:strCache>
                <c:ptCount val="1"/>
                <c:pt idx="0">
                  <c:v>Kuba O</c:v>
                </c:pt>
              </c:strCache>
            </c:strRef>
          </c:tx>
          <c:spPr>
            <a:ln w="19050"/>
          </c:spPr>
          <c:marker>
            <c:symbol val="dash"/>
            <c:size val="4"/>
          </c:marker>
          <c:cat>
            <c:strRef>
              <c:f>Arkusz1!$B$129:$G$129</c:f>
              <c:strCache>
                <c:ptCount val="6"/>
                <c:pt idx="0">
                  <c:v>14.01</c:v>
                </c:pt>
                <c:pt idx="1">
                  <c:v>21.01</c:v>
                </c:pt>
                <c:pt idx="2">
                  <c:v>28.01</c:v>
                </c:pt>
                <c:pt idx="3">
                  <c:v>4.02</c:v>
                </c:pt>
                <c:pt idx="4">
                  <c:v>11.02</c:v>
                </c:pt>
                <c:pt idx="5">
                  <c:v>18.02</c:v>
                </c:pt>
              </c:strCache>
            </c:strRef>
          </c:cat>
          <c:val>
            <c:numRef>
              <c:f>Arkusz1!$B$139:$G$139</c:f>
              <c:numCache>
                <c:formatCode>0.000</c:formatCode>
                <c:ptCount val="6"/>
                <c:pt idx="0">
                  <c:v>973.44119999999953</c:v>
                </c:pt>
                <c:pt idx="1">
                  <c:v>482.8304999999998</c:v>
                </c:pt>
                <c:pt idx="2">
                  <c:v>6742.5060000000003</c:v>
                </c:pt>
                <c:pt idx="3">
                  <c:v>2442.2069999999985</c:v>
                </c:pt>
                <c:pt idx="4">
                  <c:v>635.95359999999971</c:v>
                </c:pt>
                <c:pt idx="5">
                  <c:v>366.0539999999998</c:v>
                </c:pt>
              </c:numCache>
            </c:numRef>
          </c:val>
        </c:ser>
        <c:ser>
          <c:idx val="9"/>
          <c:order val="7"/>
          <c:tx>
            <c:strRef>
              <c:f>Arkusz1!$A$140</c:f>
              <c:strCache>
                <c:ptCount val="1"/>
                <c:pt idx="0">
                  <c:v>Orzeł </c:v>
                </c:pt>
              </c:strCache>
            </c:strRef>
          </c:tx>
          <c:spPr>
            <a:ln w="19050"/>
          </c:spPr>
          <c:marker>
            <c:symbol val="diamond"/>
            <c:size val="4"/>
          </c:marker>
          <c:trendline>
            <c:trendlineType val="linear"/>
          </c:trendline>
          <c:cat>
            <c:strRef>
              <c:f>Arkusz1!$B$129:$G$129</c:f>
              <c:strCache>
                <c:ptCount val="6"/>
                <c:pt idx="0">
                  <c:v>14.01</c:v>
                </c:pt>
                <c:pt idx="1">
                  <c:v>21.01</c:v>
                </c:pt>
                <c:pt idx="2">
                  <c:v>28.01</c:v>
                </c:pt>
                <c:pt idx="3">
                  <c:v>4.02</c:v>
                </c:pt>
                <c:pt idx="4">
                  <c:v>11.02</c:v>
                </c:pt>
                <c:pt idx="5">
                  <c:v>18.02</c:v>
                </c:pt>
              </c:strCache>
            </c:strRef>
          </c:cat>
          <c:val>
            <c:numRef>
              <c:f>Arkusz1!$B$140:$G$140</c:f>
              <c:numCache>
                <c:formatCode>General</c:formatCode>
                <c:ptCount val="6"/>
                <c:pt idx="0" formatCode="0.000">
                  <c:v>189.14699999999999</c:v>
                </c:pt>
                <c:pt idx="2" formatCode="0.000">
                  <c:v>1030.7539999999999</c:v>
                </c:pt>
                <c:pt idx="3" formatCode="0.000">
                  <c:v>475.33879999999976</c:v>
                </c:pt>
                <c:pt idx="4" formatCode="0.000">
                  <c:v>512.29780000000005</c:v>
                </c:pt>
              </c:numCache>
            </c:numRef>
          </c:val>
        </c:ser>
        <c:ser>
          <c:idx val="10"/>
          <c:order val="8"/>
          <c:tx>
            <c:strRef>
              <c:f>Arkusz1!$A$141</c:f>
              <c:strCache>
                <c:ptCount val="1"/>
                <c:pt idx="0">
                  <c:v>Piotr</c:v>
                </c:pt>
              </c:strCache>
            </c:strRef>
          </c:tx>
          <c:spPr>
            <a:ln w="19050"/>
          </c:spPr>
          <c:marker>
            <c:symbol val="square"/>
            <c:size val="4"/>
          </c:marker>
          <c:cat>
            <c:strRef>
              <c:f>Arkusz1!$B$129:$G$129</c:f>
              <c:strCache>
                <c:ptCount val="6"/>
                <c:pt idx="0">
                  <c:v>14.01</c:v>
                </c:pt>
                <c:pt idx="1">
                  <c:v>21.01</c:v>
                </c:pt>
                <c:pt idx="2">
                  <c:v>28.01</c:v>
                </c:pt>
                <c:pt idx="3">
                  <c:v>4.02</c:v>
                </c:pt>
                <c:pt idx="4">
                  <c:v>11.02</c:v>
                </c:pt>
                <c:pt idx="5">
                  <c:v>18.02</c:v>
                </c:pt>
              </c:strCache>
            </c:strRef>
          </c:cat>
          <c:val>
            <c:numRef>
              <c:f>Arkusz1!$B$141:$G$141</c:f>
              <c:numCache>
                <c:formatCode>0.000</c:formatCode>
                <c:ptCount val="6"/>
                <c:pt idx="0">
                  <c:v>248.29329999999999</c:v>
                </c:pt>
                <c:pt idx="1">
                  <c:v>841.16489999999999</c:v>
                </c:pt>
                <c:pt idx="2">
                  <c:v>1917.8629999999998</c:v>
                </c:pt>
                <c:pt idx="3">
                  <c:v>690.59159999999997</c:v>
                </c:pt>
                <c:pt idx="5">
                  <c:v>410.91219999999964</c:v>
                </c:pt>
              </c:numCache>
            </c:numRef>
          </c:val>
        </c:ser>
        <c:ser>
          <c:idx val="11"/>
          <c:order val="9"/>
          <c:tx>
            <c:strRef>
              <c:f>Arkusz1!$A$142</c:f>
              <c:strCache>
                <c:ptCount val="1"/>
                <c:pt idx="0">
                  <c:v>Sebastian</c:v>
                </c:pt>
              </c:strCache>
            </c:strRef>
          </c:tx>
          <c:spPr>
            <a:ln w="19050"/>
          </c:spPr>
          <c:marker>
            <c:symbol val="triangle"/>
            <c:size val="4"/>
          </c:marker>
          <c:cat>
            <c:strRef>
              <c:f>Arkusz1!$B$129:$G$129</c:f>
              <c:strCache>
                <c:ptCount val="6"/>
                <c:pt idx="0">
                  <c:v>14.01</c:v>
                </c:pt>
                <c:pt idx="1">
                  <c:v>21.01</c:v>
                </c:pt>
                <c:pt idx="2">
                  <c:v>28.01</c:v>
                </c:pt>
                <c:pt idx="3">
                  <c:v>4.02</c:v>
                </c:pt>
                <c:pt idx="4">
                  <c:v>11.02</c:v>
                </c:pt>
                <c:pt idx="5">
                  <c:v>18.02</c:v>
                </c:pt>
              </c:strCache>
            </c:strRef>
          </c:cat>
          <c:val>
            <c:numRef>
              <c:f>Arkusz1!$B$142:$G$142</c:f>
              <c:numCache>
                <c:formatCode>0.000</c:formatCode>
                <c:ptCount val="6"/>
                <c:pt idx="0">
                  <c:v>681.54499999999996</c:v>
                </c:pt>
                <c:pt idx="1">
                  <c:v>934.6961</c:v>
                </c:pt>
                <c:pt idx="3">
                  <c:v>1373.818</c:v>
                </c:pt>
              </c:numCache>
            </c:numRef>
          </c:val>
        </c:ser>
        <c:marker val="1"/>
        <c:axId val="84155776"/>
        <c:axId val="84166144"/>
      </c:lineChart>
      <c:catAx>
        <c:axId val="8415577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700"/>
                </a:pPr>
                <a:r>
                  <a:rPr lang="en-US" sz="700"/>
                  <a:t>Date</a:t>
                </a:r>
              </a:p>
            </c:rich>
          </c:tx>
        </c:title>
        <c:tickLblPos val="nextTo"/>
        <c:txPr>
          <a:bodyPr/>
          <a:lstStyle/>
          <a:p>
            <a:pPr>
              <a:defRPr sz="800"/>
            </a:pPr>
            <a:endParaRPr lang="pl-PL"/>
          </a:p>
        </c:txPr>
        <c:crossAx val="84166144"/>
        <c:crosses val="autoZero"/>
        <c:auto val="1"/>
        <c:lblAlgn val="ctr"/>
        <c:lblOffset val="100"/>
      </c:catAx>
      <c:valAx>
        <c:axId val="84166144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 marL="0" marR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 sz="700" b="0" i="0" baseline="0"/>
                  <a:t>DHEA concentration [pg/ml]</a:t>
                </a:r>
              </a:p>
            </c:rich>
          </c:tx>
        </c:title>
        <c:numFmt formatCode="0.000" sourceLinked="1"/>
        <c:tickLblPos val="nextTo"/>
        <c:txPr>
          <a:bodyPr/>
          <a:lstStyle/>
          <a:p>
            <a:pPr>
              <a:defRPr sz="700" baseline="0"/>
            </a:pPr>
            <a:endParaRPr lang="pl-PL"/>
          </a:p>
        </c:txPr>
        <c:crossAx val="84155776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509</Words>
  <Characters>3058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BROM</cp:lastModifiedBy>
  <cp:revision>9</cp:revision>
  <cp:lastPrinted>2017-05-25T09:20:00Z</cp:lastPrinted>
  <dcterms:created xsi:type="dcterms:W3CDTF">2017-05-17T12:29:00Z</dcterms:created>
  <dcterms:modified xsi:type="dcterms:W3CDTF">2017-05-25T09:45:00Z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