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EB2" w:rsidRDefault="00C47EB2" w:rsidP="00C47EB2">
      <w:pPr>
        <w:spacing w:line="240" w:lineRule="auto"/>
        <w:jc w:val="center"/>
        <w:rPr>
          <w:rFonts w:ascii="Times New Roman" w:eastAsia="Calibri" w:hAnsi="Times New Roman" w:cs="Times New Roman"/>
          <w:b/>
          <w:sz w:val="32"/>
          <w:szCs w:val="32"/>
          <w:lang w:val="en-ZA"/>
        </w:rPr>
      </w:pPr>
      <w:r w:rsidRPr="004A007A">
        <w:rPr>
          <w:rFonts w:ascii="Times New Roman" w:eastAsia="Calibri" w:hAnsi="Times New Roman" w:cs="Times New Roman"/>
          <w:b/>
          <w:bCs/>
          <w:sz w:val="32"/>
          <w:szCs w:val="32"/>
          <w:lang w:val="en-ZA"/>
        </w:rPr>
        <w:t>Household</w:t>
      </w:r>
      <w:r>
        <w:rPr>
          <w:rFonts w:ascii="Times New Roman" w:eastAsia="Calibri" w:hAnsi="Times New Roman" w:cs="Times New Roman"/>
          <w:b/>
          <w:bCs/>
          <w:sz w:val="32"/>
          <w:szCs w:val="32"/>
          <w:lang w:val="en-ZA"/>
        </w:rPr>
        <w:t xml:space="preserve"> </w:t>
      </w:r>
      <w:r w:rsidRPr="004A007A">
        <w:rPr>
          <w:rFonts w:ascii="Times New Roman" w:eastAsia="Calibri" w:hAnsi="Times New Roman" w:cs="Times New Roman"/>
          <w:b/>
          <w:bCs/>
          <w:sz w:val="32"/>
          <w:szCs w:val="32"/>
          <w:lang w:val="en-ZA"/>
        </w:rPr>
        <w:t xml:space="preserve">food insecurity </w:t>
      </w:r>
      <w:r w:rsidRPr="004A007A">
        <w:rPr>
          <w:rFonts w:ascii="Times New Roman" w:eastAsia="Calibri" w:hAnsi="Times New Roman" w:cs="Times New Roman"/>
          <w:b/>
          <w:sz w:val="32"/>
          <w:szCs w:val="32"/>
          <w:lang w:val="en-ZA"/>
        </w:rPr>
        <w:t xml:space="preserve">along an </w:t>
      </w:r>
      <w:proofErr w:type="spellStart"/>
      <w:r w:rsidRPr="004A007A">
        <w:rPr>
          <w:rFonts w:ascii="Times New Roman" w:eastAsia="Calibri" w:hAnsi="Times New Roman" w:cs="Times New Roman"/>
          <w:b/>
          <w:sz w:val="32"/>
          <w:szCs w:val="32"/>
          <w:lang w:val="en-ZA"/>
        </w:rPr>
        <w:t>agro</w:t>
      </w:r>
      <w:proofErr w:type="spellEnd"/>
      <w:r w:rsidRPr="004A007A">
        <w:rPr>
          <w:rFonts w:ascii="Times New Roman" w:eastAsia="Calibri" w:hAnsi="Times New Roman" w:cs="Times New Roman"/>
          <w:b/>
          <w:sz w:val="32"/>
          <w:szCs w:val="32"/>
          <w:lang w:val="en-ZA"/>
        </w:rPr>
        <w:t>-ecological gradient</w:t>
      </w:r>
      <w:r>
        <w:rPr>
          <w:rFonts w:ascii="Times New Roman" w:eastAsia="Calibri" w:hAnsi="Times New Roman" w:cs="Times New Roman"/>
          <w:b/>
          <w:sz w:val="32"/>
          <w:szCs w:val="32"/>
          <w:lang w:val="en-ZA"/>
        </w:rPr>
        <w:t xml:space="preserve"> influences children’s</w:t>
      </w:r>
      <w:r w:rsidRPr="004A007A">
        <w:rPr>
          <w:rFonts w:ascii="Times New Roman" w:eastAsia="Calibri" w:hAnsi="Times New Roman" w:cs="Times New Roman"/>
          <w:b/>
          <w:sz w:val="32"/>
          <w:szCs w:val="32"/>
          <w:lang w:val="en-ZA"/>
        </w:rPr>
        <w:t xml:space="preserve"> nutritional status </w:t>
      </w:r>
      <w:r>
        <w:rPr>
          <w:rFonts w:ascii="Times New Roman" w:eastAsia="Calibri" w:hAnsi="Times New Roman" w:cs="Times New Roman"/>
          <w:b/>
          <w:sz w:val="32"/>
          <w:szCs w:val="32"/>
          <w:lang w:val="en-ZA"/>
        </w:rPr>
        <w:t>in South Africa</w:t>
      </w:r>
    </w:p>
    <w:p w:rsidR="00C47EB2" w:rsidRDefault="00C47EB2" w:rsidP="00C47EB2">
      <w:pPr>
        <w:spacing w:after="0" w:line="240" w:lineRule="auto"/>
        <w:jc w:val="both"/>
        <w:rPr>
          <w:rFonts w:ascii="Times New Roman" w:eastAsia="Calibri" w:hAnsi="Times New Roman" w:cs="Times New Roman"/>
          <w:b/>
          <w:sz w:val="32"/>
          <w:szCs w:val="32"/>
          <w:lang w:val="en-ZA"/>
        </w:rPr>
      </w:pPr>
    </w:p>
    <w:p w:rsidR="007A1EC0" w:rsidRPr="007A1EC0" w:rsidRDefault="007A1EC0" w:rsidP="00C47EB2">
      <w:pPr>
        <w:spacing w:after="0" w:line="240" w:lineRule="auto"/>
        <w:jc w:val="both"/>
        <w:rPr>
          <w:rFonts w:ascii="Times New Roman" w:eastAsia="Calibri" w:hAnsi="Times New Roman" w:cs="Times New Roman"/>
          <w:b/>
          <w:sz w:val="28"/>
          <w:szCs w:val="24"/>
          <w:lang w:val="en-ZA"/>
        </w:rPr>
      </w:pPr>
      <w:r w:rsidRPr="007A1EC0">
        <w:rPr>
          <w:rFonts w:ascii="Times New Roman" w:eastAsia="Calibri" w:hAnsi="Times New Roman" w:cs="Times New Roman"/>
          <w:b/>
          <w:sz w:val="28"/>
          <w:szCs w:val="24"/>
          <w:lang w:val="en-ZA"/>
        </w:rPr>
        <w:t>Gamuchirai Chakona and Charlie M Shackleton</w:t>
      </w:r>
    </w:p>
    <w:p w:rsidR="007A1EC0" w:rsidRPr="007A1EC0" w:rsidRDefault="007A1EC0" w:rsidP="00C47EB2">
      <w:pPr>
        <w:spacing w:after="0" w:line="240" w:lineRule="auto"/>
        <w:jc w:val="both"/>
        <w:rPr>
          <w:rFonts w:ascii="Times New Roman" w:eastAsia="Calibri" w:hAnsi="Times New Roman" w:cs="Times New Roman"/>
          <w:b/>
          <w:sz w:val="24"/>
          <w:szCs w:val="24"/>
          <w:lang w:val="en-ZA"/>
        </w:rPr>
      </w:pPr>
      <w:bookmarkStart w:id="0" w:name="_GoBack"/>
      <w:bookmarkEnd w:id="0"/>
    </w:p>
    <w:p w:rsidR="00C47EB2" w:rsidRPr="001E6753" w:rsidRDefault="00C47EB2" w:rsidP="00C47EB2">
      <w:pPr>
        <w:spacing w:after="0" w:line="240" w:lineRule="auto"/>
        <w:jc w:val="both"/>
        <w:rPr>
          <w:rFonts w:ascii="Times New Roman" w:eastAsia="Calibri" w:hAnsi="Times New Roman" w:cs="Times New Roman"/>
          <w:b/>
          <w:sz w:val="24"/>
          <w:szCs w:val="24"/>
          <w:lang w:val="en-ZA"/>
        </w:rPr>
      </w:pPr>
      <w:r w:rsidRPr="001E6753">
        <w:rPr>
          <w:rFonts w:ascii="Times New Roman" w:eastAsia="Calibri" w:hAnsi="Times New Roman" w:cs="Times New Roman"/>
          <w:b/>
          <w:bCs/>
          <w:sz w:val="24"/>
          <w:szCs w:val="24"/>
        </w:rPr>
        <w:t>Key Words</w:t>
      </w:r>
      <w:r w:rsidRPr="001E6753">
        <w:rPr>
          <w:rFonts w:ascii="Times New Roman" w:eastAsia="Calibri" w:hAnsi="Times New Roman" w:cs="Times New Roman"/>
          <w:b/>
          <w:sz w:val="24"/>
          <w:szCs w:val="24"/>
        </w:rPr>
        <w:t xml:space="preserve">: </w:t>
      </w:r>
      <w:r w:rsidRPr="00932463">
        <w:rPr>
          <w:rFonts w:ascii="Times New Roman" w:eastAsia="Calibri" w:hAnsi="Times New Roman" w:cs="Times New Roman"/>
          <w:b/>
          <w:sz w:val="24"/>
          <w:szCs w:val="24"/>
        </w:rPr>
        <w:t>food insecurity</w:t>
      </w:r>
      <w:r>
        <w:rPr>
          <w:rFonts w:ascii="Times New Roman" w:eastAsia="Calibri" w:hAnsi="Times New Roman" w:cs="Times New Roman"/>
          <w:b/>
          <w:sz w:val="24"/>
          <w:szCs w:val="24"/>
        </w:rPr>
        <w:t>,</w:t>
      </w:r>
      <w:r w:rsidRPr="00D44E2B">
        <w:rPr>
          <w:rFonts w:ascii="Times New Roman" w:eastAsia="Calibri" w:hAnsi="Times New Roman" w:cs="Times New Roman"/>
          <w:b/>
          <w:sz w:val="24"/>
          <w:szCs w:val="24"/>
        </w:rPr>
        <w:t xml:space="preserve"> </w:t>
      </w:r>
      <w:proofErr w:type="spellStart"/>
      <w:r w:rsidRPr="003C3C40">
        <w:rPr>
          <w:rFonts w:ascii="Times New Roman" w:eastAsia="Calibri" w:hAnsi="Times New Roman" w:cs="Times New Roman"/>
          <w:b/>
          <w:sz w:val="24"/>
          <w:szCs w:val="24"/>
        </w:rPr>
        <w:t>agro</w:t>
      </w:r>
      <w:proofErr w:type="spellEnd"/>
      <w:r w:rsidRPr="003C3C40">
        <w:rPr>
          <w:rFonts w:ascii="Times New Roman" w:eastAsia="Calibri" w:hAnsi="Times New Roman" w:cs="Times New Roman"/>
          <w:b/>
          <w:sz w:val="24"/>
          <w:szCs w:val="24"/>
        </w:rPr>
        <w:t>-ecological gradient</w:t>
      </w:r>
      <w:r>
        <w:rPr>
          <w:rFonts w:ascii="Times New Roman" w:eastAsia="Calibri" w:hAnsi="Times New Roman" w:cs="Times New Roman"/>
          <w:b/>
          <w:sz w:val="24"/>
          <w:szCs w:val="24"/>
        </w:rPr>
        <w:t>,</w:t>
      </w:r>
      <w:r w:rsidRPr="00D44E2B">
        <w:rPr>
          <w:rFonts w:ascii="Times New Roman" w:eastAsia="Calibri" w:hAnsi="Times New Roman" w:cs="Times New Roman"/>
          <w:b/>
          <w:sz w:val="24"/>
          <w:szCs w:val="24"/>
        </w:rPr>
        <w:t xml:space="preserve"> </w:t>
      </w:r>
      <w:r w:rsidRPr="00B643B6">
        <w:rPr>
          <w:rFonts w:ascii="Times New Roman" w:eastAsia="Calibri" w:hAnsi="Times New Roman" w:cs="Times New Roman"/>
          <w:b/>
          <w:sz w:val="24"/>
          <w:szCs w:val="24"/>
        </w:rPr>
        <w:t>rural-urban continuum</w:t>
      </w:r>
      <w:r>
        <w:rPr>
          <w:rFonts w:ascii="Times New Roman" w:eastAsia="Calibri" w:hAnsi="Times New Roman" w:cs="Times New Roman"/>
          <w:b/>
          <w:sz w:val="24"/>
          <w:szCs w:val="24"/>
        </w:rPr>
        <w:t>,</w:t>
      </w:r>
      <w:r w:rsidRPr="00D44E2B">
        <w:rPr>
          <w:rFonts w:ascii="Times New Roman" w:eastAsia="Calibri" w:hAnsi="Times New Roman" w:cs="Times New Roman"/>
          <w:b/>
          <w:sz w:val="24"/>
          <w:szCs w:val="24"/>
        </w:rPr>
        <w:t xml:space="preserve"> </w:t>
      </w:r>
      <w:r w:rsidRPr="001E6753">
        <w:rPr>
          <w:rFonts w:ascii="Times New Roman" w:eastAsia="Calibri" w:hAnsi="Times New Roman" w:cs="Times New Roman"/>
          <w:b/>
          <w:sz w:val="24"/>
          <w:szCs w:val="24"/>
        </w:rPr>
        <w:t>malnutrition, dietary diversity, stunting, wasting, wild foods.</w:t>
      </w:r>
    </w:p>
    <w:p w:rsidR="00C47EB2" w:rsidRDefault="00C47EB2" w:rsidP="00C47EB2">
      <w:pPr>
        <w:spacing w:after="0" w:line="240" w:lineRule="auto"/>
        <w:rPr>
          <w:rFonts w:ascii="Times New Roman" w:eastAsia="Calibri" w:hAnsi="Times New Roman" w:cs="Times New Roman"/>
          <w:b/>
          <w:sz w:val="24"/>
          <w:szCs w:val="24"/>
          <w:lang w:val="en-ZA"/>
        </w:rPr>
      </w:pPr>
    </w:p>
    <w:p w:rsidR="00C47EB2" w:rsidRPr="004A31A2" w:rsidRDefault="00C47EB2" w:rsidP="00C47EB2">
      <w:pPr>
        <w:spacing w:after="0" w:line="240" w:lineRule="auto"/>
        <w:rPr>
          <w:rFonts w:ascii="Times New Roman" w:eastAsia="Calibri" w:hAnsi="Times New Roman" w:cs="Times New Roman"/>
          <w:b/>
          <w:sz w:val="24"/>
          <w:szCs w:val="24"/>
          <w:lang w:val="en-ZA"/>
        </w:rPr>
      </w:pPr>
      <w:r w:rsidRPr="004A31A2">
        <w:rPr>
          <w:rFonts w:ascii="Times New Roman" w:eastAsia="Calibri" w:hAnsi="Times New Roman" w:cs="Times New Roman"/>
          <w:b/>
          <w:sz w:val="24"/>
          <w:szCs w:val="24"/>
          <w:lang w:val="en-ZA"/>
        </w:rPr>
        <w:t>Abstract</w:t>
      </w:r>
    </w:p>
    <w:p w:rsidR="00C47EB2" w:rsidRDefault="00C47EB2" w:rsidP="00C47EB2">
      <w:pPr>
        <w:spacing w:after="0" w:line="240" w:lineRule="auto"/>
        <w:jc w:val="both"/>
        <w:rPr>
          <w:rFonts w:ascii="Times New Roman" w:eastAsia="Times New Roman" w:hAnsi="Times New Roman" w:cs="Times New Roman"/>
          <w:sz w:val="24"/>
          <w:szCs w:val="24"/>
          <w:lang w:val="en-GB"/>
        </w:rPr>
      </w:pPr>
      <w:r w:rsidRPr="001E6753">
        <w:rPr>
          <w:rFonts w:ascii="Times New Roman" w:hAnsi="Times New Roman" w:cs="Times New Roman"/>
          <w:sz w:val="24"/>
          <w:szCs w:val="24"/>
        </w:rPr>
        <w:t xml:space="preserve">The burden of food insecurity and malnutrition </w:t>
      </w:r>
      <w:r w:rsidRPr="001E6753">
        <w:rPr>
          <w:rFonts w:ascii="Times New Roman" w:eastAsia="Calibri" w:hAnsi="Times New Roman" w:cs="Times New Roman"/>
          <w:sz w:val="24"/>
          <w:szCs w:val="24"/>
        </w:rPr>
        <w:t>is a severe problem experienced by many poor households and</w:t>
      </w:r>
      <w:r w:rsidRPr="00465550">
        <w:rPr>
          <w:rFonts w:ascii="Times New Roman" w:eastAsia="Times New Roman" w:hAnsi="Times New Roman" w:cs="Times New Roman"/>
          <w:sz w:val="24"/>
          <w:szCs w:val="24"/>
        </w:rPr>
        <w:t xml:space="preserve"> </w:t>
      </w:r>
      <w:r w:rsidRPr="00465550">
        <w:rPr>
          <w:rFonts w:ascii="Times New Roman" w:hAnsi="Times New Roman" w:cs="Times New Roman"/>
          <w:sz w:val="24"/>
          <w:szCs w:val="24"/>
          <w:lang w:val="en-GB"/>
        </w:rPr>
        <w:t>children under the age of five are at high risk.</w:t>
      </w:r>
      <w:r w:rsidRPr="00465550">
        <w:rPr>
          <w:rFonts w:ascii="Times New Roman" w:hAnsi="Times New Roman" w:cs="Times New Roman"/>
          <w:iCs/>
          <w:sz w:val="24"/>
          <w:szCs w:val="24"/>
        </w:rPr>
        <w:t xml:space="preserve"> </w:t>
      </w:r>
      <w:r w:rsidRPr="00465550">
        <w:rPr>
          <w:rFonts w:ascii="Times New Roman" w:hAnsi="Times New Roman" w:cs="Times New Roman"/>
          <w:sz w:val="24"/>
          <w:szCs w:val="24"/>
          <w:lang w:val="en-GB"/>
        </w:rPr>
        <w:t>The objective of the study was t</w:t>
      </w:r>
      <w:r w:rsidRPr="00465550">
        <w:rPr>
          <w:rFonts w:ascii="Times New Roman" w:hAnsi="Times New Roman" w:cs="Times New Roman"/>
          <w:iCs/>
          <w:sz w:val="24"/>
          <w:szCs w:val="24"/>
        </w:rPr>
        <w:t>o examine household food insecurity, dietary diversity and child nutritional status in relation to local context which influences access to and ability to grow food in South Africa and explore the links and associations between these and household socio-economic status.</w:t>
      </w:r>
      <w:r w:rsidRPr="00465550">
        <w:rPr>
          <w:rFonts w:ascii="Times New Roman" w:eastAsia="Calibri" w:hAnsi="Times New Roman" w:cs="Times New Roman"/>
          <w:sz w:val="24"/>
          <w:szCs w:val="24"/>
        </w:rPr>
        <w:t xml:space="preserve"> Using a 48-hour dietary recall method, we interviewed 554 women from randomly selected households along a rural-urban continuum in three towns situated along an </w:t>
      </w:r>
      <w:proofErr w:type="spellStart"/>
      <w:r w:rsidRPr="00465550">
        <w:rPr>
          <w:rFonts w:ascii="Times New Roman" w:eastAsia="Calibri" w:hAnsi="Times New Roman" w:cs="Times New Roman"/>
          <w:sz w:val="24"/>
          <w:szCs w:val="24"/>
        </w:rPr>
        <w:t>agro</w:t>
      </w:r>
      <w:proofErr w:type="spellEnd"/>
      <w:r w:rsidRPr="00465550">
        <w:rPr>
          <w:rFonts w:ascii="Times New Roman" w:eastAsia="Calibri" w:hAnsi="Times New Roman" w:cs="Times New Roman"/>
          <w:sz w:val="24"/>
          <w:szCs w:val="24"/>
        </w:rPr>
        <w:t>-ecological gradient. The Household D</w:t>
      </w:r>
      <w:r w:rsidRPr="00374D62">
        <w:rPr>
          <w:rFonts w:ascii="Times New Roman" w:eastAsia="Calibri" w:hAnsi="Times New Roman" w:cs="Times New Roman"/>
          <w:sz w:val="24"/>
          <w:szCs w:val="24"/>
        </w:rPr>
        <w:t xml:space="preserve">ietary Diversity Scores (HDDS) and the Household Food Insecurity Access Scale (HFIAS) tools were used to measure household dietary diversity and food insecurity respectively. Anthropometric measurements with 216 children (2-5 years) from the sampled households were conducted using height-for-age </w:t>
      </w:r>
      <w:r>
        <w:rPr>
          <w:rFonts w:ascii="Times New Roman" w:eastAsia="Calibri" w:hAnsi="Times New Roman" w:cs="Times New Roman"/>
          <w:sz w:val="24"/>
          <w:szCs w:val="24"/>
        </w:rPr>
        <w:t>(</w:t>
      </w:r>
      <w:r w:rsidRPr="00374D62">
        <w:rPr>
          <w:rFonts w:ascii="Times New Roman" w:eastAsia="Calibri" w:hAnsi="Times New Roman" w:cs="Times New Roman"/>
          <w:sz w:val="24"/>
          <w:szCs w:val="24"/>
        </w:rPr>
        <w:t>HAZ) and mid-upper arm circumference (MUAC) as indicators of stunting and wasting respectively.</w:t>
      </w:r>
      <w:r>
        <w:rPr>
          <w:rFonts w:ascii="Times New Roman" w:eastAsia="Calibri" w:hAnsi="Times New Roman" w:cs="Times New Roman"/>
          <w:sz w:val="24"/>
          <w:szCs w:val="24"/>
        </w:rPr>
        <w:t xml:space="preserve"> </w:t>
      </w:r>
      <w:r w:rsidRPr="00465550">
        <w:rPr>
          <w:rFonts w:ascii="Times New Roman" w:eastAsia="Calibri" w:hAnsi="Times New Roman" w:cs="Times New Roman"/>
          <w:sz w:val="24"/>
          <w:szCs w:val="24"/>
        </w:rPr>
        <w:t xml:space="preserve">The key findings were that mean HDDS declined with decreasing </w:t>
      </w:r>
      <w:proofErr w:type="spellStart"/>
      <w:r w:rsidRPr="00465550">
        <w:rPr>
          <w:rFonts w:ascii="Times New Roman" w:eastAsia="Calibri" w:hAnsi="Times New Roman" w:cs="Times New Roman"/>
          <w:sz w:val="24"/>
          <w:szCs w:val="24"/>
        </w:rPr>
        <w:t>agro</w:t>
      </w:r>
      <w:proofErr w:type="spellEnd"/>
      <w:r w:rsidRPr="00465550">
        <w:rPr>
          <w:rFonts w:ascii="Times New Roman" w:eastAsia="Calibri" w:hAnsi="Times New Roman" w:cs="Times New Roman"/>
          <w:sz w:val="24"/>
          <w:szCs w:val="24"/>
        </w:rPr>
        <w:t xml:space="preserve">-ecological potential from the wettest site (8.44±1.72) to the other two drier sites (7.83±1.59 and 7.76±1.63). The mean HFIAS followed the opposite trend. Stunted growth was the dominant form of malnutrition detected in 35% of children and 18% of children were wasted. Child wasting was greatest at the site with lowest </w:t>
      </w:r>
      <w:proofErr w:type="spellStart"/>
      <w:r w:rsidRPr="00465550">
        <w:rPr>
          <w:rFonts w:ascii="Times New Roman" w:eastAsia="Calibri" w:hAnsi="Times New Roman" w:cs="Times New Roman"/>
          <w:sz w:val="24"/>
          <w:szCs w:val="24"/>
        </w:rPr>
        <w:t>agro</w:t>
      </w:r>
      <w:proofErr w:type="spellEnd"/>
      <w:r w:rsidRPr="00465550">
        <w:rPr>
          <w:rFonts w:ascii="Times New Roman" w:eastAsia="Calibri" w:hAnsi="Times New Roman" w:cs="Times New Roman"/>
          <w:sz w:val="24"/>
          <w:szCs w:val="24"/>
        </w:rPr>
        <w:t xml:space="preserve">-ecological potential. Children from households with low HDDS had large MUAC which showed an inverse association among HDDS and obesity. </w:t>
      </w:r>
      <w:r>
        <w:rPr>
          <w:rFonts w:ascii="Times New Roman" w:hAnsi="Times New Roman" w:cs="Times New Roman"/>
          <w:iCs/>
          <w:sz w:val="24"/>
          <w:szCs w:val="24"/>
        </w:rPr>
        <w:t xml:space="preserve">Areas with </w:t>
      </w:r>
      <w:proofErr w:type="spellStart"/>
      <w:r>
        <w:rPr>
          <w:rFonts w:ascii="Times New Roman" w:hAnsi="Times New Roman" w:cs="Times New Roman"/>
          <w:iCs/>
          <w:sz w:val="24"/>
          <w:szCs w:val="24"/>
        </w:rPr>
        <w:t>agro</w:t>
      </w:r>
      <w:proofErr w:type="spellEnd"/>
      <w:r>
        <w:rPr>
          <w:rFonts w:ascii="Times New Roman" w:hAnsi="Times New Roman" w:cs="Times New Roman"/>
          <w:iCs/>
          <w:sz w:val="24"/>
          <w:szCs w:val="24"/>
        </w:rPr>
        <w:t xml:space="preserve">-ecological potential had lower prevalence of food insecurity and wasting in children. </w:t>
      </w:r>
      <w:proofErr w:type="spellStart"/>
      <w:r>
        <w:rPr>
          <w:rFonts w:ascii="Times New Roman" w:eastAsia="Calibri" w:hAnsi="Times New Roman" w:cs="Times New Roman"/>
          <w:sz w:val="24"/>
          <w:szCs w:val="24"/>
        </w:rPr>
        <w:t>Agro</w:t>
      </w:r>
      <w:proofErr w:type="spellEnd"/>
      <w:r>
        <w:rPr>
          <w:rFonts w:ascii="Times New Roman" w:eastAsia="Calibri" w:hAnsi="Times New Roman" w:cs="Times New Roman"/>
          <w:sz w:val="24"/>
          <w:szCs w:val="24"/>
        </w:rPr>
        <w:t>-ecological potential has significant influence on c</w:t>
      </w:r>
      <w:r w:rsidRPr="00465550">
        <w:rPr>
          <w:rFonts w:ascii="Times New Roman" w:eastAsia="Calibri" w:hAnsi="Times New Roman" w:cs="Times New Roman"/>
          <w:sz w:val="24"/>
          <w:szCs w:val="24"/>
        </w:rPr>
        <w:t>hildren’s nutritional status</w:t>
      </w:r>
      <w:r>
        <w:rPr>
          <w:rFonts w:ascii="Times New Roman" w:eastAsia="Calibri" w:hAnsi="Times New Roman" w:cs="Times New Roman"/>
          <w:sz w:val="24"/>
          <w:szCs w:val="24"/>
        </w:rPr>
        <w:t>,</w:t>
      </w:r>
      <w:r w:rsidRPr="0046555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which </w:t>
      </w:r>
      <w:r w:rsidRPr="00465550">
        <w:rPr>
          <w:rFonts w:ascii="Times New Roman" w:eastAsia="Calibri" w:hAnsi="Times New Roman" w:cs="Times New Roman"/>
          <w:sz w:val="24"/>
          <w:szCs w:val="24"/>
        </w:rPr>
        <w:t xml:space="preserve">is </w:t>
      </w:r>
      <w:r>
        <w:rPr>
          <w:rFonts w:ascii="Times New Roman" w:eastAsia="Calibri" w:hAnsi="Times New Roman" w:cs="Times New Roman"/>
          <w:sz w:val="24"/>
          <w:szCs w:val="24"/>
        </w:rPr>
        <w:t xml:space="preserve">also </w:t>
      </w:r>
      <w:r w:rsidRPr="00465550">
        <w:rPr>
          <w:rFonts w:ascii="Times New Roman" w:eastAsia="Calibri" w:hAnsi="Times New Roman" w:cs="Times New Roman"/>
          <w:sz w:val="24"/>
          <w:szCs w:val="24"/>
        </w:rPr>
        <w:t>related to household food security and socioeconomic status</w:t>
      </w:r>
      <w:r>
        <w:rPr>
          <w:rFonts w:ascii="Times New Roman" w:eastAsia="Calibri" w:hAnsi="Times New Roman" w:cs="Times New Roman"/>
          <w:sz w:val="24"/>
          <w:szCs w:val="24"/>
        </w:rPr>
        <w:t>. Dependence on food purchasing and a</w:t>
      </w:r>
      <w:r w:rsidRPr="00465550">
        <w:rPr>
          <w:rFonts w:ascii="Times New Roman" w:eastAsia="Calibri" w:hAnsi="Times New Roman" w:cs="Times New Roman"/>
          <w:sz w:val="24"/>
          <w:szCs w:val="24"/>
        </w:rPr>
        <w:t>ny limitations in households’ income</w:t>
      </w:r>
      <w:r>
        <w:rPr>
          <w:rFonts w:ascii="Times New Roman" w:eastAsia="Calibri" w:hAnsi="Times New Roman" w:cs="Times New Roman"/>
          <w:sz w:val="24"/>
          <w:szCs w:val="24"/>
        </w:rPr>
        <w:t>,</w:t>
      </w:r>
      <w:r w:rsidRPr="00465550">
        <w:rPr>
          <w:rFonts w:ascii="Times New Roman" w:eastAsia="Calibri" w:hAnsi="Times New Roman" w:cs="Times New Roman"/>
          <w:sz w:val="24"/>
          <w:szCs w:val="24"/>
        </w:rPr>
        <w:t xml:space="preserve"> access</w:t>
      </w:r>
      <w:r>
        <w:rPr>
          <w:rFonts w:ascii="Times New Roman" w:eastAsia="Calibri" w:hAnsi="Times New Roman" w:cs="Times New Roman"/>
          <w:sz w:val="24"/>
          <w:szCs w:val="24"/>
        </w:rPr>
        <w:t xml:space="preserve"> to land and</w:t>
      </w:r>
      <w:r w:rsidRPr="00465550">
        <w:rPr>
          <w:rFonts w:ascii="Times New Roman" w:eastAsia="Calibri" w:hAnsi="Times New Roman" w:cs="Times New Roman"/>
          <w:sz w:val="24"/>
          <w:szCs w:val="24"/>
        </w:rPr>
        <w:t xml:space="preserve"> food</w:t>
      </w:r>
      <w:r>
        <w:rPr>
          <w:rFonts w:ascii="Times New Roman" w:eastAsia="Calibri" w:hAnsi="Times New Roman" w:cs="Times New Roman"/>
          <w:sz w:val="24"/>
          <w:szCs w:val="24"/>
        </w:rPr>
        <w:t>,</w:t>
      </w:r>
      <w:r w:rsidRPr="00465550">
        <w:rPr>
          <w:rFonts w:ascii="Times New Roman" w:eastAsia="Calibri" w:hAnsi="Times New Roman" w:cs="Times New Roman"/>
          <w:sz w:val="24"/>
          <w:szCs w:val="24"/>
        </w:rPr>
        <w:t xml:space="preserve"> can result in different forms of malnutrition in children. Responses to address malnutrition in South Africa need to be prioritized and move beyond relying on food security and nutritional specific interventions, but rather on nutrition specific and sensitive programs and approaches; and building an enabling environment.</w:t>
      </w:r>
      <w:r>
        <w:rPr>
          <w:rFonts w:ascii="Times New Roman" w:eastAsia="Calibri" w:hAnsi="Times New Roman" w:cs="Times New Roman"/>
          <w:sz w:val="24"/>
          <w:szCs w:val="24"/>
        </w:rPr>
        <w:t xml:space="preserve"> Land availability, </w:t>
      </w:r>
      <w:r>
        <w:rPr>
          <w:rFonts w:ascii="Times New Roman" w:eastAsia="Times New Roman" w:hAnsi="Times New Roman" w:cs="Times New Roman"/>
          <w:sz w:val="24"/>
          <w:szCs w:val="24"/>
          <w:lang w:val="en-GB"/>
        </w:rPr>
        <w:t>agriculture (including climate-smart agriculture especially in drier areas) and wild foods usage should be promoted.</w:t>
      </w:r>
    </w:p>
    <w:p w:rsidR="006304BF" w:rsidRDefault="007A1EC0"/>
    <w:sectPr w:rsidR="00630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E1"/>
    <w:rsid w:val="0043531F"/>
    <w:rsid w:val="00496604"/>
    <w:rsid w:val="007A1EC0"/>
    <w:rsid w:val="008211B5"/>
    <w:rsid w:val="008906E1"/>
    <w:rsid w:val="00C47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EF6B4"/>
  <w15:chartTrackingRefBased/>
  <w15:docId w15:val="{D560CBE7-63A1-4D68-9069-A3CC0200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E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Gamuchirai Chakona</dc:creator>
  <cp:keywords/>
  <dc:description/>
  <cp:lastModifiedBy>Gamuchirai Chakona</cp:lastModifiedBy>
  <cp:revision>4</cp:revision>
  <dcterms:created xsi:type="dcterms:W3CDTF">2017-10-27T07:57:00Z</dcterms:created>
  <dcterms:modified xsi:type="dcterms:W3CDTF">2017-10-27T07:59:00Z</dcterms:modified>
</cp:coreProperties>
</file>