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325" w:rsidRDefault="00335325" w:rsidP="00AA6440">
      <w:pPr>
        <w:pStyle w:val="Heading1"/>
        <w:jc w:val="right"/>
        <w:rPr>
          <w:b w:val="0"/>
          <w:lang w:bidi="ar-EG"/>
        </w:rPr>
      </w:pPr>
      <w:r>
        <w:rPr>
          <w:b w:val="0"/>
          <w:lang w:bidi="ar-EG"/>
        </w:rPr>
        <w:t xml:space="preserve">E. </w:t>
      </w:r>
      <w:proofErr w:type="spellStart"/>
      <w:r>
        <w:rPr>
          <w:b w:val="0"/>
          <w:lang w:bidi="ar-EG"/>
        </w:rPr>
        <w:t>Rogzinska</w:t>
      </w:r>
      <w:proofErr w:type="spellEnd"/>
      <w:r>
        <w:rPr>
          <w:b w:val="0"/>
          <w:lang w:bidi="ar-EG"/>
        </w:rPr>
        <w:t xml:space="preserve">, MI </w:t>
      </w:r>
      <w:proofErr w:type="spellStart"/>
      <w:r>
        <w:rPr>
          <w:b w:val="0"/>
          <w:lang w:bidi="ar-EG"/>
        </w:rPr>
        <w:t>Amico</w:t>
      </w:r>
      <w:proofErr w:type="spellEnd"/>
      <w:r>
        <w:rPr>
          <w:b w:val="0"/>
          <w:lang w:bidi="ar-EG"/>
        </w:rPr>
        <w:t xml:space="preserve">, El </w:t>
      </w:r>
      <w:proofErr w:type="spellStart"/>
      <w:r>
        <w:rPr>
          <w:b w:val="0"/>
          <w:lang w:bidi="ar-EG"/>
        </w:rPr>
        <w:t>Beltagy</w:t>
      </w:r>
      <w:proofErr w:type="spellEnd"/>
      <w:r>
        <w:rPr>
          <w:b w:val="0"/>
          <w:lang w:bidi="ar-EG"/>
        </w:rPr>
        <w:t xml:space="preserve"> nermeen</w:t>
      </w:r>
    </w:p>
    <w:p w:rsidR="00AA6440" w:rsidRDefault="00AA6440" w:rsidP="00AA6440">
      <w:pPr>
        <w:pStyle w:val="Heading1"/>
        <w:jc w:val="right"/>
        <w:rPr>
          <w:rFonts w:asciiTheme="minorHAnsi" w:eastAsiaTheme="minorEastAsia" w:hAnsiTheme="minorHAnsi" w:cs="ArialUnicodeMS"/>
          <w:bCs w:val="0"/>
          <w:color w:val="auto"/>
          <w:sz w:val="24"/>
          <w:szCs w:val="24"/>
        </w:rPr>
      </w:pPr>
      <w:r>
        <w:rPr>
          <w:b w:val="0"/>
          <w:lang w:bidi="ar-EG"/>
        </w:rPr>
        <w:t>“</w:t>
      </w:r>
      <w:r w:rsidRPr="00AC4339">
        <w:rPr>
          <w:rFonts w:ascii="ArialUnicodeMS" w:eastAsiaTheme="minorEastAsia" w:hAnsi="ArialUnicodeMS" w:cs="ArialUnicodeMS"/>
          <w:bCs w:val="0"/>
          <w:color w:val="auto"/>
          <w:sz w:val="24"/>
          <w:szCs w:val="24"/>
        </w:rPr>
        <w:t>Development of composite outcomes for individual patient data (IPD) meta-analysis on the effects of diet and lifestyle in pregnancy: a Delphi survey.</w:t>
      </w:r>
    </w:p>
    <w:p w:rsidR="00AA6440" w:rsidRPr="005860D0" w:rsidRDefault="00AA6440" w:rsidP="00AA6440">
      <w:pPr>
        <w:autoSpaceDE w:val="0"/>
        <w:autoSpaceDN w:val="0"/>
        <w:adjustRightInd w:val="0"/>
        <w:spacing w:after="0" w:line="360" w:lineRule="auto"/>
        <w:rPr>
          <w:rFonts w:ascii="AdvMINION-R" w:hAnsi="AdvMINION-R" w:cs="AdvMINION-R"/>
          <w:sz w:val="24"/>
          <w:szCs w:val="24"/>
        </w:rPr>
      </w:pPr>
      <w:r w:rsidRPr="005860D0">
        <w:rPr>
          <w:rFonts w:ascii="AdvPSFT-B" w:hAnsi="AdvPSFT-B" w:cs="AdvPSFT-B"/>
          <w:b/>
          <w:bCs/>
          <w:sz w:val="24"/>
          <w:szCs w:val="24"/>
        </w:rPr>
        <w:t>Objective:</w:t>
      </w:r>
      <w:r>
        <w:rPr>
          <w:rFonts w:ascii="AdvPSFT-B" w:hAnsi="AdvPSFT-B" w:cs="AdvPSFT-B"/>
          <w:sz w:val="24"/>
          <w:szCs w:val="24"/>
        </w:rPr>
        <w:t xml:space="preserve"> </w:t>
      </w:r>
      <w:r w:rsidRPr="005860D0">
        <w:rPr>
          <w:rFonts w:ascii="AdvPSFT-B" w:hAnsi="AdvPSFT-B" w:cs="AdvPSFT-B"/>
          <w:sz w:val="24"/>
          <w:szCs w:val="24"/>
        </w:rPr>
        <w:t xml:space="preserve"> </w:t>
      </w:r>
      <w:r w:rsidRPr="005860D0">
        <w:rPr>
          <w:rFonts w:ascii="AdvMINION-R" w:hAnsi="AdvMINION-R" w:cs="AdvMINION-R"/>
          <w:sz w:val="24"/>
          <w:szCs w:val="24"/>
        </w:rPr>
        <w:t>To develop maternal, fetal, and neonatal composite</w:t>
      </w:r>
      <w:r>
        <w:rPr>
          <w:rFonts w:ascii="AdvMINION-R" w:hAnsi="AdvMINION-R" w:cs="AdvMINION-R"/>
          <w:sz w:val="24"/>
          <w:szCs w:val="24"/>
        </w:rPr>
        <w:t xml:space="preserve"> </w:t>
      </w:r>
      <w:r w:rsidRPr="005860D0">
        <w:rPr>
          <w:rFonts w:ascii="AdvMINION-R" w:hAnsi="AdvMINION-R" w:cs="AdvMINION-R"/>
          <w:sz w:val="24"/>
          <w:szCs w:val="24"/>
        </w:rPr>
        <w:t>outcomes relevant to the evaluation of diet and lifestyle</w:t>
      </w:r>
      <w:r>
        <w:rPr>
          <w:rFonts w:ascii="AdvMINION-R" w:hAnsi="AdvMINION-R" w:cs="AdvMINION-R"/>
          <w:sz w:val="24"/>
          <w:szCs w:val="24"/>
        </w:rPr>
        <w:t xml:space="preserve"> </w:t>
      </w:r>
      <w:r w:rsidRPr="005860D0">
        <w:rPr>
          <w:rFonts w:ascii="AdvMINION-R" w:hAnsi="AdvMINION-R" w:cs="AdvMINION-R"/>
          <w:sz w:val="24"/>
          <w:szCs w:val="24"/>
        </w:rPr>
        <w:t>interventions in pregnancy by individual patient data (IPD)</w:t>
      </w:r>
    </w:p>
    <w:p w:rsidR="00AA6440" w:rsidRDefault="00AA6440" w:rsidP="00AA6440">
      <w:pPr>
        <w:autoSpaceDE w:val="0"/>
        <w:autoSpaceDN w:val="0"/>
        <w:adjustRightInd w:val="0"/>
        <w:spacing w:after="0" w:line="360" w:lineRule="auto"/>
        <w:rPr>
          <w:rFonts w:ascii="AdvPSFT-B" w:hAnsi="AdvPSFT-B" w:cs="AdvPSFT-B"/>
          <w:sz w:val="24"/>
          <w:szCs w:val="24"/>
        </w:rPr>
      </w:pPr>
      <w:proofErr w:type="gramStart"/>
      <w:r w:rsidRPr="005860D0">
        <w:rPr>
          <w:rFonts w:ascii="AdvMINION-R" w:hAnsi="AdvMINION-R" w:cs="AdvMINION-R"/>
          <w:sz w:val="24"/>
          <w:szCs w:val="24"/>
        </w:rPr>
        <w:t>meta-analysis</w:t>
      </w:r>
      <w:proofErr w:type="gramEnd"/>
      <w:r w:rsidRPr="005860D0">
        <w:rPr>
          <w:rFonts w:ascii="AdvMINION-R" w:hAnsi="AdvMINION-R" w:cs="AdvMINION-R"/>
          <w:sz w:val="24"/>
          <w:szCs w:val="24"/>
        </w:rPr>
        <w:t>.</w:t>
      </w:r>
    </w:p>
    <w:p w:rsidR="00AA6440" w:rsidRPr="005860D0" w:rsidRDefault="00AA6440" w:rsidP="00AA6440">
      <w:pPr>
        <w:autoSpaceDE w:val="0"/>
        <w:autoSpaceDN w:val="0"/>
        <w:adjustRightInd w:val="0"/>
        <w:spacing w:after="0" w:line="360" w:lineRule="auto"/>
        <w:rPr>
          <w:rFonts w:ascii="AdvMINION-R" w:hAnsi="AdvMINION-R" w:cs="AdvMINION-R"/>
          <w:sz w:val="24"/>
          <w:szCs w:val="24"/>
        </w:rPr>
      </w:pPr>
      <w:r w:rsidRPr="005860D0">
        <w:rPr>
          <w:rFonts w:ascii="AdvPSFT-B" w:hAnsi="AdvPSFT-B" w:cs="AdvPSFT-B"/>
          <w:b/>
          <w:bCs/>
          <w:sz w:val="24"/>
          <w:szCs w:val="24"/>
        </w:rPr>
        <w:t>Design:</w:t>
      </w:r>
      <w:r w:rsidRPr="005860D0">
        <w:rPr>
          <w:rFonts w:ascii="AdvPSFT-B" w:hAnsi="AdvPSFT-B" w:cs="AdvPSFT-B"/>
          <w:sz w:val="24"/>
          <w:szCs w:val="24"/>
        </w:rPr>
        <w:t xml:space="preserve"> </w:t>
      </w:r>
      <w:r w:rsidRPr="005860D0">
        <w:rPr>
          <w:rFonts w:ascii="AdvMINION-R" w:hAnsi="AdvMINION-R" w:cs="AdvMINION-R"/>
          <w:sz w:val="24"/>
          <w:szCs w:val="24"/>
        </w:rPr>
        <w:t>Delphi survey.</w:t>
      </w:r>
    </w:p>
    <w:p w:rsidR="00AA6440" w:rsidRDefault="00AA6440" w:rsidP="00AA6440">
      <w:pPr>
        <w:autoSpaceDE w:val="0"/>
        <w:autoSpaceDN w:val="0"/>
        <w:adjustRightInd w:val="0"/>
        <w:spacing w:after="0" w:line="360" w:lineRule="auto"/>
        <w:rPr>
          <w:rFonts w:ascii="AdvMINION-R" w:hAnsi="AdvMINION-R" w:cs="AdvMINION-R"/>
          <w:sz w:val="24"/>
          <w:szCs w:val="24"/>
        </w:rPr>
      </w:pPr>
      <w:r w:rsidRPr="005860D0">
        <w:rPr>
          <w:rFonts w:ascii="AdvPSFT-B" w:hAnsi="AdvPSFT-B" w:cs="AdvPSFT-B"/>
          <w:b/>
          <w:bCs/>
          <w:sz w:val="24"/>
          <w:szCs w:val="24"/>
        </w:rPr>
        <w:t>Setting</w:t>
      </w:r>
      <w:r>
        <w:rPr>
          <w:rFonts w:ascii="AdvPSFT-B" w:hAnsi="AdvPSFT-B" w:cs="AdvPSFT-B"/>
          <w:sz w:val="24"/>
          <w:szCs w:val="24"/>
        </w:rPr>
        <w:t>:</w:t>
      </w:r>
      <w:r w:rsidRPr="005860D0">
        <w:rPr>
          <w:rFonts w:ascii="AdvPSFT-B" w:hAnsi="AdvPSFT-B" w:cs="AdvPSFT-B"/>
          <w:sz w:val="24"/>
          <w:szCs w:val="24"/>
        </w:rPr>
        <w:t xml:space="preserve"> </w:t>
      </w:r>
      <w:r w:rsidRPr="005860D0">
        <w:rPr>
          <w:rFonts w:ascii="AdvMINION-R" w:hAnsi="AdvMINION-R" w:cs="AdvMINION-R"/>
          <w:sz w:val="24"/>
          <w:szCs w:val="24"/>
        </w:rPr>
        <w:t>The International Weight Management in Pregnancy</w:t>
      </w:r>
      <w:r>
        <w:rPr>
          <w:rFonts w:ascii="AdvMINION-R" w:hAnsi="AdvMINION-R" w:cs="AdvMINION-R"/>
          <w:sz w:val="24"/>
          <w:szCs w:val="24"/>
        </w:rPr>
        <w:t xml:space="preserve"> </w:t>
      </w:r>
      <w:r w:rsidRPr="005860D0">
        <w:rPr>
          <w:rFonts w:ascii="AdvMINION-R" w:hAnsi="AdvMINION-R" w:cs="AdvMINION-R"/>
          <w:sz w:val="24"/>
          <w:szCs w:val="24"/>
        </w:rPr>
        <w:t>(</w:t>
      </w:r>
      <w:proofErr w:type="spellStart"/>
      <w:r w:rsidRPr="005860D0">
        <w:rPr>
          <w:rFonts w:ascii="AdvMINION-R" w:hAnsi="AdvMINION-R" w:cs="AdvMINION-R"/>
          <w:sz w:val="24"/>
          <w:szCs w:val="24"/>
        </w:rPr>
        <w:t>i</w:t>
      </w:r>
      <w:proofErr w:type="spellEnd"/>
      <w:r w:rsidRPr="005860D0">
        <w:rPr>
          <w:rFonts w:ascii="AdvTTec369687+20" w:hAnsi="AdvTTec369687+20" w:cs="AdvTTec369687+20"/>
          <w:sz w:val="24"/>
          <w:szCs w:val="24"/>
        </w:rPr>
        <w:t>–</w:t>
      </w:r>
      <w:r w:rsidRPr="005860D0">
        <w:rPr>
          <w:rFonts w:ascii="AdvMINION-R" w:hAnsi="AdvMINION-R" w:cs="AdvMINION-R"/>
          <w:sz w:val="24"/>
          <w:szCs w:val="24"/>
        </w:rPr>
        <w:t>WIP) collaborative network.</w:t>
      </w:r>
    </w:p>
    <w:p w:rsidR="00AA6440" w:rsidRPr="005860D0" w:rsidRDefault="00AA6440" w:rsidP="00AA6440">
      <w:pPr>
        <w:autoSpaceDE w:val="0"/>
        <w:autoSpaceDN w:val="0"/>
        <w:adjustRightInd w:val="0"/>
        <w:spacing w:after="0" w:line="360" w:lineRule="auto"/>
        <w:rPr>
          <w:rFonts w:ascii="AdvMINION-R" w:hAnsi="AdvMINION-R" w:cs="AdvMINION-R"/>
          <w:sz w:val="24"/>
          <w:szCs w:val="24"/>
        </w:rPr>
      </w:pPr>
      <w:r w:rsidRPr="005860D0">
        <w:rPr>
          <w:rFonts w:ascii="AdvMINION-R" w:hAnsi="AdvMINION-R" w:cs="AdvMINION-R"/>
          <w:sz w:val="24"/>
          <w:szCs w:val="24"/>
          <w:u w:val="single"/>
        </w:rPr>
        <w:t>Sample</w:t>
      </w:r>
      <w:r>
        <w:rPr>
          <w:rFonts w:ascii="AdvMINION-R" w:hAnsi="AdvMINION-R" w:cs="AdvMINION-R"/>
          <w:sz w:val="24"/>
          <w:szCs w:val="24"/>
        </w:rPr>
        <w:t>:</w:t>
      </w:r>
      <w:r w:rsidRPr="005860D0">
        <w:rPr>
          <w:rFonts w:ascii="AdvMINION-R" w:hAnsi="AdvMINION-R" w:cs="AdvMINION-R"/>
          <w:sz w:val="24"/>
          <w:szCs w:val="24"/>
        </w:rPr>
        <w:t xml:space="preserve"> Twenty-six researchers</w:t>
      </w:r>
      <w:r>
        <w:rPr>
          <w:rFonts w:ascii="AdvMINION-R" w:hAnsi="AdvMINION-R" w:cs="AdvMINION-R"/>
          <w:sz w:val="24"/>
          <w:szCs w:val="24"/>
        </w:rPr>
        <w:t xml:space="preserve"> </w:t>
      </w:r>
      <w:r w:rsidRPr="005860D0">
        <w:rPr>
          <w:rFonts w:ascii="AdvMINION-R" w:hAnsi="AdvMINION-R" w:cs="AdvMINION-R"/>
          <w:sz w:val="24"/>
          <w:szCs w:val="24"/>
        </w:rPr>
        <w:t xml:space="preserve">from </w:t>
      </w:r>
      <w:proofErr w:type="gramStart"/>
      <w:r w:rsidRPr="005860D0">
        <w:rPr>
          <w:rFonts w:ascii="AdvMINION-R" w:hAnsi="AdvMINION-R" w:cs="AdvMINION-R"/>
          <w:sz w:val="24"/>
          <w:szCs w:val="24"/>
        </w:rPr>
        <w:t xml:space="preserve">the </w:t>
      </w:r>
      <w:proofErr w:type="spellStart"/>
      <w:r w:rsidRPr="005860D0">
        <w:rPr>
          <w:rFonts w:ascii="AdvMINION-R" w:hAnsi="AdvMINION-R" w:cs="AdvMINION-R"/>
          <w:sz w:val="24"/>
          <w:szCs w:val="24"/>
        </w:rPr>
        <w:t>i</w:t>
      </w:r>
      <w:proofErr w:type="spellEnd"/>
      <w:proofErr w:type="gramEnd"/>
      <w:r w:rsidRPr="005860D0">
        <w:rPr>
          <w:rFonts w:ascii="AdvTTec369687+20" w:hAnsi="AdvTTec369687+20" w:cs="AdvTTec369687+20"/>
          <w:sz w:val="24"/>
          <w:szCs w:val="24"/>
        </w:rPr>
        <w:t>–</w:t>
      </w:r>
      <w:r w:rsidRPr="005860D0">
        <w:rPr>
          <w:rFonts w:ascii="AdvMINION-R" w:hAnsi="AdvMINION-R" w:cs="AdvMINION-R"/>
          <w:sz w:val="24"/>
          <w:szCs w:val="24"/>
        </w:rPr>
        <w:t>WIP collaborative network from 11 countries.</w:t>
      </w:r>
    </w:p>
    <w:p w:rsidR="00AA6440" w:rsidRDefault="00AA6440" w:rsidP="00AA6440">
      <w:pPr>
        <w:autoSpaceDE w:val="0"/>
        <w:autoSpaceDN w:val="0"/>
        <w:adjustRightInd w:val="0"/>
        <w:spacing w:after="0" w:line="360" w:lineRule="auto"/>
        <w:rPr>
          <w:rFonts w:ascii="AdvPSFT-B" w:hAnsi="AdvPSFT-B" w:cs="AdvPSFT-B"/>
          <w:sz w:val="24"/>
          <w:szCs w:val="24"/>
        </w:rPr>
      </w:pPr>
      <w:r w:rsidRPr="005860D0">
        <w:rPr>
          <w:rFonts w:ascii="AdvPSFT-B" w:hAnsi="AdvPSFT-B" w:cs="AdvPSFT-B"/>
          <w:b/>
          <w:bCs/>
          <w:sz w:val="24"/>
          <w:szCs w:val="24"/>
        </w:rPr>
        <w:t>Methods</w:t>
      </w:r>
      <w:r>
        <w:rPr>
          <w:rFonts w:ascii="AdvPSFT-B" w:hAnsi="AdvPSFT-B" w:cs="AdvPSFT-B"/>
          <w:sz w:val="24"/>
          <w:szCs w:val="24"/>
        </w:rPr>
        <w:t>:</w:t>
      </w:r>
      <w:r w:rsidRPr="005860D0">
        <w:rPr>
          <w:rFonts w:ascii="AdvPSFT-B" w:hAnsi="AdvPSFT-B" w:cs="AdvPSFT-B"/>
          <w:sz w:val="24"/>
          <w:szCs w:val="24"/>
        </w:rPr>
        <w:t xml:space="preserve"> </w:t>
      </w:r>
      <w:r w:rsidRPr="005860D0">
        <w:rPr>
          <w:rFonts w:ascii="AdvMINION-R" w:hAnsi="AdvMINION-R" w:cs="AdvMINION-R"/>
          <w:sz w:val="24"/>
          <w:szCs w:val="24"/>
        </w:rPr>
        <w:t>A two-generational Delphi survey involving members of</w:t>
      </w:r>
      <w:r>
        <w:rPr>
          <w:rFonts w:ascii="AdvMINION-R" w:hAnsi="AdvMINION-R" w:cs="AdvMINION-R"/>
          <w:sz w:val="24"/>
          <w:szCs w:val="24"/>
        </w:rPr>
        <w:t xml:space="preserve"> </w:t>
      </w:r>
      <w:proofErr w:type="gramStart"/>
      <w:r w:rsidRPr="005860D0">
        <w:rPr>
          <w:rFonts w:ascii="AdvMINION-R" w:hAnsi="AdvMINION-R" w:cs="AdvMINION-R"/>
          <w:sz w:val="24"/>
          <w:szCs w:val="24"/>
        </w:rPr>
        <w:t xml:space="preserve">the </w:t>
      </w:r>
      <w:proofErr w:type="spellStart"/>
      <w:r w:rsidRPr="005860D0">
        <w:rPr>
          <w:rFonts w:ascii="AdvMINION-R" w:hAnsi="AdvMINION-R" w:cs="AdvMINION-R"/>
          <w:sz w:val="24"/>
          <w:szCs w:val="24"/>
        </w:rPr>
        <w:t>i</w:t>
      </w:r>
      <w:proofErr w:type="spellEnd"/>
      <w:proofErr w:type="gramEnd"/>
      <w:r w:rsidRPr="005860D0">
        <w:rPr>
          <w:rFonts w:ascii="AdvTTec369687+20" w:hAnsi="AdvTTec369687+20" w:cs="AdvTTec369687+20"/>
          <w:sz w:val="24"/>
          <w:szCs w:val="24"/>
        </w:rPr>
        <w:t>–</w:t>
      </w:r>
      <w:r w:rsidRPr="005860D0">
        <w:rPr>
          <w:rFonts w:ascii="AdvMINION-R" w:hAnsi="AdvMINION-R" w:cs="AdvMINION-R"/>
          <w:sz w:val="24"/>
          <w:szCs w:val="24"/>
        </w:rPr>
        <w:t>WIP collaborative network (26 members in 11 countries)</w:t>
      </w:r>
      <w:r>
        <w:rPr>
          <w:rFonts w:ascii="AdvMINION-R" w:hAnsi="AdvMINION-R" w:cs="AdvMINION-R"/>
          <w:sz w:val="24"/>
          <w:szCs w:val="24"/>
        </w:rPr>
        <w:t xml:space="preserve"> </w:t>
      </w:r>
      <w:r w:rsidRPr="005860D0">
        <w:rPr>
          <w:rFonts w:ascii="AdvMINION-R" w:hAnsi="AdvMINION-R" w:cs="AdvMINION-R"/>
          <w:sz w:val="24"/>
          <w:szCs w:val="24"/>
        </w:rPr>
        <w:t xml:space="preserve">was undertaken to </w:t>
      </w:r>
      <w:proofErr w:type="spellStart"/>
      <w:r w:rsidRPr="005860D0">
        <w:rPr>
          <w:rFonts w:ascii="AdvMINION-R" w:hAnsi="AdvMINION-R" w:cs="AdvMINION-R"/>
          <w:sz w:val="24"/>
          <w:szCs w:val="24"/>
        </w:rPr>
        <w:t>prioritise</w:t>
      </w:r>
      <w:proofErr w:type="spellEnd"/>
      <w:r w:rsidRPr="005860D0">
        <w:rPr>
          <w:rFonts w:ascii="AdvMINION-R" w:hAnsi="AdvMINION-R" w:cs="AdvMINION-R"/>
          <w:sz w:val="24"/>
          <w:szCs w:val="24"/>
        </w:rPr>
        <w:t xml:space="preserve"> the individual outcomes for their</w:t>
      </w:r>
      <w:r>
        <w:rPr>
          <w:rFonts w:ascii="AdvMINION-R" w:hAnsi="AdvMINION-R" w:cs="AdvMINION-R"/>
          <w:sz w:val="24"/>
          <w:szCs w:val="24"/>
        </w:rPr>
        <w:t xml:space="preserve"> </w:t>
      </w:r>
      <w:r w:rsidRPr="005860D0">
        <w:rPr>
          <w:rFonts w:ascii="AdvMINION-R" w:hAnsi="AdvMINION-R" w:cs="AdvMINION-R"/>
          <w:sz w:val="24"/>
          <w:szCs w:val="24"/>
        </w:rPr>
        <w:t>importance in clinical care. The final components of the</w:t>
      </w:r>
      <w:r>
        <w:rPr>
          <w:rFonts w:ascii="AdvMINION-R" w:hAnsi="AdvMINION-R" w:cs="AdvMINION-R"/>
          <w:sz w:val="24"/>
          <w:szCs w:val="24"/>
        </w:rPr>
        <w:t xml:space="preserve"> </w:t>
      </w:r>
      <w:r w:rsidRPr="005860D0">
        <w:rPr>
          <w:rFonts w:ascii="AdvMINION-R" w:hAnsi="AdvMINION-R" w:cs="AdvMINION-R"/>
          <w:sz w:val="24"/>
          <w:szCs w:val="24"/>
        </w:rPr>
        <w:t>composite outcomes were identified using pre-specified criteria.</w:t>
      </w:r>
    </w:p>
    <w:p w:rsidR="00AA6440" w:rsidRPr="005860D0" w:rsidRDefault="00AA6440" w:rsidP="00AA6440">
      <w:pPr>
        <w:autoSpaceDE w:val="0"/>
        <w:autoSpaceDN w:val="0"/>
        <w:adjustRightInd w:val="0"/>
        <w:spacing w:after="0" w:line="360" w:lineRule="auto"/>
        <w:rPr>
          <w:rFonts w:ascii="AdvMINION-R" w:hAnsi="AdvMINION-R" w:cs="AdvMINION-R"/>
          <w:sz w:val="24"/>
          <w:szCs w:val="24"/>
        </w:rPr>
      </w:pPr>
      <w:r w:rsidRPr="005860D0">
        <w:rPr>
          <w:rFonts w:ascii="AdvPSFT-B" w:hAnsi="AdvPSFT-B" w:cs="AdvPSFT-B"/>
          <w:b/>
          <w:bCs/>
          <w:sz w:val="24"/>
          <w:szCs w:val="24"/>
        </w:rPr>
        <w:t>Main outcome measures</w:t>
      </w:r>
      <w:r>
        <w:rPr>
          <w:rFonts w:ascii="AdvMINION-R" w:hAnsi="AdvMINION-R" w:cs="AdvMINION-R"/>
          <w:sz w:val="24"/>
          <w:szCs w:val="24"/>
        </w:rPr>
        <w:t>:</w:t>
      </w:r>
      <w:r w:rsidRPr="005860D0">
        <w:rPr>
          <w:rFonts w:ascii="AdvMINION-R" w:hAnsi="AdvMINION-R" w:cs="AdvMINION-R"/>
          <w:sz w:val="24"/>
          <w:szCs w:val="24"/>
        </w:rPr>
        <w:t xml:space="preserve"> Composite outcomes considered to be</w:t>
      </w:r>
      <w:r>
        <w:rPr>
          <w:rFonts w:ascii="AdvMINION-R" w:hAnsi="AdvMINION-R" w:cs="AdvMINION-R"/>
          <w:sz w:val="24"/>
          <w:szCs w:val="24"/>
        </w:rPr>
        <w:t xml:space="preserve"> </w:t>
      </w:r>
      <w:r w:rsidRPr="005860D0">
        <w:rPr>
          <w:rFonts w:ascii="AdvMINION-R" w:hAnsi="AdvMINION-R" w:cs="AdvMINION-R"/>
          <w:sz w:val="24"/>
          <w:szCs w:val="24"/>
        </w:rPr>
        <w:t>important for the evaluation of the effect of diet and lifestyle in</w:t>
      </w:r>
      <w:r>
        <w:rPr>
          <w:rFonts w:ascii="AdvMINION-R" w:hAnsi="AdvMINION-R" w:cs="AdvMINION-R"/>
          <w:sz w:val="24"/>
          <w:szCs w:val="24"/>
        </w:rPr>
        <w:t xml:space="preserve"> </w:t>
      </w:r>
      <w:r w:rsidRPr="005860D0">
        <w:rPr>
          <w:rFonts w:ascii="AdvMINION-R" w:hAnsi="AdvMINION-R" w:cs="AdvMINION-R"/>
          <w:sz w:val="24"/>
          <w:szCs w:val="24"/>
        </w:rPr>
        <w:t>pregnancy.</w:t>
      </w:r>
    </w:p>
    <w:p w:rsidR="00AA6440" w:rsidRPr="005860D0" w:rsidRDefault="00AA6440" w:rsidP="00AA6440">
      <w:pPr>
        <w:autoSpaceDE w:val="0"/>
        <w:autoSpaceDN w:val="0"/>
        <w:adjustRightInd w:val="0"/>
        <w:spacing w:after="0" w:line="360" w:lineRule="auto"/>
        <w:rPr>
          <w:rFonts w:ascii="AdvMINION-R" w:hAnsi="AdvMINION-R" w:cs="AdvMINION-R"/>
          <w:sz w:val="24"/>
          <w:szCs w:val="24"/>
        </w:rPr>
      </w:pPr>
      <w:r w:rsidRPr="005860D0">
        <w:rPr>
          <w:rFonts w:ascii="AdvPSFT-B" w:hAnsi="AdvPSFT-B" w:cs="AdvPSFT-B"/>
          <w:b/>
          <w:bCs/>
          <w:sz w:val="24"/>
          <w:szCs w:val="24"/>
        </w:rPr>
        <w:t>Results</w:t>
      </w:r>
      <w:r>
        <w:rPr>
          <w:rFonts w:ascii="AdvMINION-R" w:hAnsi="AdvMINION-R" w:cs="AdvMINION-R"/>
          <w:sz w:val="24"/>
          <w:szCs w:val="24"/>
        </w:rPr>
        <w:t>:</w:t>
      </w:r>
      <w:r w:rsidRPr="005860D0">
        <w:rPr>
          <w:rFonts w:ascii="AdvMINION-R" w:hAnsi="AdvMINION-R" w:cs="AdvMINION-R"/>
          <w:sz w:val="24"/>
          <w:szCs w:val="24"/>
        </w:rPr>
        <w:t xml:space="preserve"> Of the 36 maternal outcomes, nine were </w:t>
      </w:r>
      <w:proofErr w:type="spellStart"/>
      <w:r w:rsidRPr="005860D0">
        <w:rPr>
          <w:rFonts w:ascii="AdvMINION-R" w:hAnsi="AdvMINION-R" w:cs="AdvMINION-R"/>
          <w:sz w:val="24"/>
          <w:szCs w:val="24"/>
        </w:rPr>
        <w:t>prioritised</w:t>
      </w:r>
      <w:proofErr w:type="spellEnd"/>
      <w:r w:rsidRPr="005860D0">
        <w:rPr>
          <w:rFonts w:ascii="AdvMINION-R" w:hAnsi="AdvMINION-R" w:cs="AdvMINION-R"/>
          <w:sz w:val="24"/>
          <w:szCs w:val="24"/>
        </w:rPr>
        <w:t xml:space="preserve"> and</w:t>
      </w:r>
      <w:r>
        <w:rPr>
          <w:rFonts w:ascii="AdvMINION-R" w:hAnsi="AdvMINION-R" w:cs="AdvMINION-R"/>
          <w:sz w:val="24"/>
          <w:szCs w:val="24"/>
        </w:rPr>
        <w:t xml:space="preserve"> </w:t>
      </w:r>
      <w:r w:rsidRPr="005860D0">
        <w:rPr>
          <w:rFonts w:ascii="AdvMINION-R" w:hAnsi="AdvMINION-R" w:cs="AdvMINION-R"/>
          <w:sz w:val="24"/>
          <w:szCs w:val="24"/>
        </w:rPr>
        <w:t>the following were included in the final composite: pre-</w:t>
      </w:r>
      <w:proofErr w:type="spellStart"/>
      <w:r w:rsidRPr="005860D0">
        <w:rPr>
          <w:rFonts w:ascii="AdvMINION-R" w:hAnsi="AdvMINION-R" w:cs="AdvMINION-R"/>
          <w:sz w:val="24"/>
          <w:szCs w:val="24"/>
        </w:rPr>
        <w:t>eclampsia</w:t>
      </w:r>
      <w:proofErr w:type="spellEnd"/>
      <w:r>
        <w:rPr>
          <w:rFonts w:ascii="AdvMINION-R" w:hAnsi="AdvMINION-R" w:cs="AdvMINION-R"/>
          <w:sz w:val="24"/>
          <w:szCs w:val="24"/>
        </w:rPr>
        <w:t xml:space="preserve"> </w:t>
      </w:r>
      <w:r w:rsidRPr="005860D0">
        <w:rPr>
          <w:rFonts w:ascii="AdvMINION-R" w:hAnsi="AdvMINION-R" w:cs="AdvMINION-R"/>
          <w:sz w:val="24"/>
          <w:szCs w:val="24"/>
        </w:rPr>
        <w:t>or pregnancy-induced hypertension, gestational diabetes mellitus</w:t>
      </w:r>
      <w:r>
        <w:rPr>
          <w:rFonts w:ascii="AdvMINION-R" w:hAnsi="AdvMINION-R" w:cs="AdvMINION-R"/>
          <w:sz w:val="24"/>
          <w:szCs w:val="24"/>
        </w:rPr>
        <w:t xml:space="preserve"> </w:t>
      </w:r>
      <w:r w:rsidRPr="005860D0">
        <w:rPr>
          <w:rFonts w:ascii="AdvMINION-R" w:hAnsi="AdvMINION-R" w:cs="AdvMINION-R"/>
          <w:sz w:val="24"/>
          <w:szCs w:val="24"/>
        </w:rPr>
        <w:t>(GDM), elective or emergency caesarean section, and preterm</w:t>
      </w:r>
      <w:r>
        <w:rPr>
          <w:rFonts w:ascii="AdvMINION-R" w:hAnsi="AdvMINION-R" w:cs="AdvMINION-R"/>
          <w:sz w:val="24"/>
          <w:szCs w:val="24"/>
        </w:rPr>
        <w:t xml:space="preserve"> </w:t>
      </w:r>
      <w:r w:rsidRPr="005860D0">
        <w:rPr>
          <w:rFonts w:ascii="AdvMINION-R" w:hAnsi="AdvMINION-R" w:cs="AdvMINION-R"/>
          <w:sz w:val="24"/>
          <w:szCs w:val="24"/>
        </w:rPr>
        <w:t>delivery. Of the 27 fetal and neonatal outcomes, nine were further</w:t>
      </w:r>
      <w:r>
        <w:rPr>
          <w:rFonts w:ascii="AdvMINION-R" w:hAnsi="AdvMINION-R" w:cs="AdvMINION-R"/>
          <w:sz w:val="24"/>
          <w:szCs w:val="24"/>
        </w:rPr>
        <w:t xml:space="preserve"> </w:t>
      </w:r>
      <w:r w:rsidRPr="005860D0">
        <w:rPr>
          <w:rFonts w:ascii="AdvMINION-R" w:hAnsi="AdvMINION-R" w:cs="AdvMINION-R"/>
          <w:sz w:val="24"/>
          <w:szCs w:val="24"/>
        </w:rPr>
        <w:t>evaluated, with the final composite consisting of intrauterine</w:t>
      </w:r>
      <w:r>
        <w:rPr>
          <w:rFonts w:ascii="AdvMINION-R" w:hAnsi="AdvMINION-R" w:cs="AdvMINION-R"/>
          <w:sz w:val="24"/>
          <w:szCs w:val="24"/>
        </w:rPr>
        <w:t xml:space="preserve"> </w:t>
      </w:r>
      <w:r w:rsidRPr="005860D0">
        <w:rPr>
          <w:rFonts w:ascii="AdvMINION-R" w:hAnsi="AdvMINION-R" w:cs="AdvMINION-R"/>
          <w:sz w:val="24"/>
          <w:szCs w:val="24"/>
        </w:rPr>
        <w:t>death, small for gestational age, large for gestational age, and</w:t>
      </w:r>
      <w:r>
        <w:rPr>
          <w:rFonts w:ascii="AdvMINION-R" w:hAnsi="AdvMINION-R" w:cs="AdvMINION-R"/>
          <w:sz w:val="24"/>
          <w:szCs w:val="24"/>
        </w:rPr>
        <w:t xml:space="preserve"> </w:t>
      </w:r>
      <w:r w:rsidRPr="005860D0">
        <w:rPr>
          <w:rFonts w:ascii="AdvMINION-R" w:hAnsi="AdvMINION-R" w:cs="AdvMINION-R"/>
          <w:sz w:val="24"/>
          <w:szCs w:val="24"/>
        </w:rPr>
        <w:t>admission to a neonatal intensive care unit (NICU).</w:t>
      </w:r>
    </w:p>
    <w:p w:rsidR="00AA6440" w:rsidRPr="005860D0" w:rsidRDefault="00AA6440" w:rsidP="00AA6440">
      <w:pPr>
        <w:autoSpaceDE w:val="0"/>
        <w:autoSpaceDN w:val="0"/>
        <w:adjustRightInd w:val="0"/>
        <w:spacing w:after="0" w:line="360" w:lineRule="auto"/>
        <w:ind w:right="-563"/>
        <w:rPr>
          <w:rFonts w:ascii="AdvMINION-R" w:hAnsi="AdvMINION-R" w:cs="AdvMINION-R"/>
          <w:sz w:val="24"/>
          <w:szCs w:val="24"/>
        </w:rPr>
      </w:pPr>
      <w:r w:rsidRPr="005860D0">
        <w:rPr>
          <w:rFonts w:ascii="AdvPSFT-B" w:hAnsi="AdvPSFT-B" w:cs="AdvPSFT-B"/>
          <w:b/>
          <w:bCs/>
          <w:sz w:val="24"/>
          <w:szCs w:val="24"/>
        </w:rPr>
        <w:t>Conclusions:</w:t>
      </w:r>
      <w:r w:rsidRPr="005860D0">
        <w:rPr>
          <w:rFonts w:ascii="AdvPSFT-B" w:hAnsi="AdvPSFT-B" w:cs="AdvPSFT-B"/>
          <w:sz w:val="24"/>
          <w:szCs w:val="24"/>
        </w:rPr>
        <w:t xml:space="preserve"> </w:t>
      </w:r>
      <w:r w:rsidRPr="005860D0">
        <w:rPr>
          <w:rFonts w:ascii="AdvMINION-R" w:hAnsi="AdvMINION-R" w:cs="AdvMINION-R"/>
          <w:sz w:val="24"/>
          <w:szCs w:val="24"/>
        </w:rPr>
        <w:t>Our work has identified the components of maternal,</w:t>
      </w:r>
      <w:r>
        <w:rPr>
          <w:rFonts w:ascii="AdvMINION-R" w:hAnsi="AdvMINION-R" w:cs="AdvMINION-R"/>
          <w:sz w:val="24"/>
          <w:szCs w:val="24"/>
        </w:rPr>
        <w:t xml:space="preserve"> </w:t>
      </w:r>
      <w:r w:rsidRPr="005860D0">
        <w:rPr>
          <w:rFonts w:ascii="AdvMINION-R" w:hAnsi="AdvMINION-R" w:cs="AdvMINION-R"/>
          <w:sz w:val="24"/>
          <w:szCs w:val="24"/>
        </w:rPr>
        <w:t>fetal, and neonatal composite outcomes required for the</w:t>
      </w:r>
      <w:r>
        <w:rPr>
          <w:rFonts w:ascii="AdvMINION-R" w:hAnsi="AdvMINION-R" w:cs="AdvMINION-R"/>
          <w:sz w:val="24"/>
          <w:szCs w:val="24"/>
        </w:rPr>
        <w:t xml:space="preserve"> </w:t>
      </w:r>
      <w:r w:rsidRPr="005860D0">
        <w:rPr>
          <w:rFonts w:ascii="AdvMINION-R" w:hAnsi="AdvMINION-R" w:cs="AdvMINION-R"/>
          <w:sz w:val="24"/>
          <w:szCs w:val="24"/>
        </w:rPr>
        <w:t>assessment of diet and lifestyle interventions in pregnancy by IPD</w:t>
      </w:r>
    </w:p>
    <w:p w:rsidR="00AA6440" w:rsidRPr="005860D0" w:rsidRDefault="00AA6440" w:rsidP="00AA6440">
      <w:pPr>
        <w:spacing w:line="360" w:lineRule="auto"/>
        <w:rPr>
          <w:sz w:val="24"/>
          <w:szCs w:val="24"/>
        </w:rPr>
      </w:pPr>
      <w:proofErr w:type="gramStart"/>
      <w:r w:rsidRPr="005860D0">
        <w:rPr>
          <w:rFonts w:ascii="AdvMINION-R" w:hAnsi="AdvMINION-R" w:cs="AdvMINION-R"/>
          <w:sz w:val="24"/>
          <w:szCs w:val="24"/>
        </w:rPr>
        <w:t>meta-analysis</w:t>
      </w:r>
      <w:proofErr w:type="gramEnd"/>
      <w:r w:rsidRPr="005860D0">
        <w:rPr>
          <w:rFonts w:ascii="AdvMINION-R" w:hAnsi="AdvMINION-R" w:cs="AdvMINION-R"/>
          <w:sz w:val="24"/>
          <w:szCs w:val="24"/>
        </w:rPr>
        <w:t>.</w:t>
      </w:r>
    </w:p>
    <w:p w:rsidR="00B87EB3" w:rsidRDefault="00B87EB3"/>
    <w:sectPr w:rsidR="00B87EB3" w:rsidSect="00EF48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UnicodeMS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dvPSFT-B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MINION-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TTec369687+2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20"/>
  <w:characterSpacingControl w:val="doNotCompress"/>
  <w:compat/>
  <w:rsids>
    <w:rsidRoot w:val="00AA6440"/>
    <w:rsid w:val="00335325"/>
    <w:rsid w:val="00AA6440"/>
    <w:rsid w:val="00B87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440"/>
  </w:style>
  <w:style w:type="paragraph" w:styleId="Heading1">
    <w:name w:val="heading 1"/>
    <w:basedOn w:val="Normal"/>
    <w:next w:val="Normal"/>
    <w:link w:val="Heading1Char"/>
    <w:uiPriority w:val="9"/>
    <w:qFormat/>
    <w:rsid w:val="00AA6440"/>
    <w:pPr>
      <w:keepNext/>
      <w:keepLines/>
      <w:bidi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64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260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2017-02-07T11:50:00Z</dcterms:created>
  <dcterms:modified xsi:type="dcterms:W3CDTF">2017-02-07T11:54:00Z</dcterms:modified>
</cp:coreProperties>
</file>