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01A17" w:rsidRPr="00901A17" w:rsidRDefault="00114E0F" w:rsidP="00901A17">
      <w:pPr>
        <w:pStyle w:val="BodyText"/>
        <w:rPr>
          <w:rFonts w:asciiTheme="minorHAnsi" w:eastAsia="Minion Pro" w:hAnsiTheme="minorHAnsi" w:cs="Arial"/>
          <w:b/>
          <w:bCs/>
          <w:color w:val="337AB7"/>
          <w:sz w:val="28"/>
          <w:szCs w:val="28"/>
        </w:rPr>
      </w:pPr>
      <w:r>
        <w:rPr>
          <w:rFonts w:asciiTheme="minorHAnsi" w:eastAsia="Minion Pro" w:hAnsiTheme="minorHAnsi" w:cs="Arial"/>
          <w:b/>
          <w:bCs/>
          <w:color w:val="337AB7"/>
          <w:sz w:val="28"/>
          <w:szCs w:val="28"/>
        </w:rPr>
        <w:t xml:space="preserve">Selectivity of Infrared </w:t>
      </w:r>
      <w:bookmarkStart w:id="0" w:name="_GoBack"/>
      <w:bookmarkEnd w:id="0"/>
      <w:r>
        <w:rPr>
          <w:rFonts w:asciiTheme="minorHAnsi" w:eastAsia="Minion Pro" w:hAnsiTheme="minorHAnsi" w:cs="Arial"/>
          <w:b/>
          <w:bCs/>
          <w:color w:val="337AB7"/>
          <w:sz w:val="28"/>
          <w:szCs w:val="28"/>
        </w:rPr>
        <w:t>T</w:t>
      </w:r>
      <w:r w:rsidR="00901A17" w:rsidRPr="00901A17">
        <w:rPr>
          <w:rFonts w:asciiTheme="minorHAnsi" w:eastAsia="Minion Pro" w:hAnsiTheme="minorHAnsi" w:cs="Arial"/>
          <w:b/>
          <w:bCs/>
          <w:color w:val="337AB7"/>
          <w:sz w:val="28"/>
          <w:szCs w:val="28"/>
        </w:rPr>
        <w:t>reatment on Inactivation of Fungi on Corn</w:t>
      </w:r>
    </w:p>
    <w:p w:rsidR="00901A17" w:rsidRPr="00901A17" w:rsidRDefault="00901A17" w:rsidP="00901A17">
      <w:pPr>
        <w:pStyle w:val="BodyText"/>
        <w:rPr>
          <w:rFonts w:asciiTheme="minorHAnsi" w:hAnsiTheme="minorHAnsi" w:cs="Arial"/>
          <w:sz w:val="20"/>
        </w:rPr>
      </w:pPr>
      <w:r w:rsidRPr="00901A17">
        <w:rPr>
          <w:rFonts w:asciiTheme="minorHAnsi" w:hAnsiTheme="minorHAnsi" w:cs="Arial"/>
        </w:rPr>
        <w:t xml:space="preserve">Griffiths G. Atungulu PhD, </w:t>
      </w:r>
      <w:proofErr w:type="gramStart"/>
      <w:r w:rsidRPr="00901A17">
        <w:rPr>
          <w:rFonts w:asciiTheme="minorHAnsi" w:hAnsiTheme="minorHAnsi" w:cs="Arial"/>
        </w:rPr>
        <w:t>The</w:t>
      </w:r>
      <w:proofErr w:type="gramEnd"/>
      <w:r w:rsidRPr="00901A17">
        <w:rPr>
          <w:rFonts w:asciiTheme="minorHAnsi" w:hAnsiTheme="minorHAnsi" w:cs="Arial"/>
        </w:rPr>
        <w:t xml:space="preserve"> University of Arkansas, USA</w:t>
      </w:r>
    </w:p>
    <w:p w:rsidR="00901A17" w:rsidRPr="00901A17" w:rsidRDefault="00901A17" w:rsidP="00901A17">
      <w:pPr>
        <w:pStyle w:val="BodyText"/>
        <w:rPr>
          <w:rFonts w:asciiTheme="minorHAnsi" w:hAnsiTheme="minorHAnsi" w:cs="Arial"/>
        </w:rPr>
      </w:pPr>
      <w:r w:rsidRPr="00901A17">
        <w:rPr>
          <w:rFonts w:asciiTheme="minorHAnsi" w:hAnsiTheme="minorHAnsi" w:cs="Arial"/>
        </w:rPr>
        <w:t xml:space="preserve">Shantae Wilson </w:t>
      </w:r>
      <w:proofErr w:type="spellStart"/>
      <w:r w:rsidRPr="00901A17">
        <w:rPr>
          <w:rFonts w:asciiTheme="minorHAnsi" w:hAnsiTheme="minorHAnsi" w:cs="Arial"/>
        </w:rPr>
        <w:t>M.Sc</w:t>
      </w:r>
      <w:proofErr w:type="spellEnd"/>
      <w:r w:rsidRPr="00901A17">
        <w:rPr>
          <w:rFonts w:asciiTheme="minorHAnsi" w:hAnsiTheme="minorHAnsi" w:cs="Arial"/>
        </w:rPr>
        <w:t xml:space="preserve">, </w:t>
      </w:r>
      <w:proofErr w:type="gramStart"/>
      <w:r w:rsidRPr="00901A17">
        <w:rPr>
          <w:rFonts w:asciiTheme="minorHAnsi" w:hAnsiTheme="minorHAnsi" w:cs="Arial"/>
        </w:rPr>
        <w:t>The</w:t>
      </w:r>
      <w:proofErr w:type="gramEnd"/>
      <w:r w:rsidRPr="00901A17">
        <w:rPr>
          <w:rFonts w:asciiTheme="minorHAnsi" w:hAnsiTheme="minorHAnsi" w:cs="Arial"/>
        </w:rPr>
        <w:t xml:space="preserve"> University of Arkansas, USA</w:t>
      </w:r>
    </w:p>
    <w:p w:rsidR="00AE3E37" w:rsidRPr="00901A17" w:rsidRDefault="00AE3E37">
      <w:pPr>
        <w:rPr>
          <w:rFonts w:asciiTheme="minorHAnsi" w:hAnsiTheme="minorHAnsi"/>
          <w:sz w:val="21"/>
        </w:rPr>
        <w:sectPr w:rsidR="00AE3E37" w:rsidRPr="00901A17">
          <w:headerReference w:type="default" r:id="rId7"/>
          <w:footerReference w:type="default" r:id="rId8"/>
          <w:type w:val="continuous"/>
          <w:pgSz w:w="11910" w:h="16840"/>
          <w:pgMar w:top="1740" w:right="600" w:bottom="840" w:left="620" w:header="541" w:footer="642" w:gutter="0"/>
          <w:cols w:space="720"/>
        </w:sectPr>
      </w:pPr>
    </w:p>
    <w:p w:rsidR="00AE3E37" w:rsidRPr="00901A17" w:rsidRDefault="00A9710C">
      <w:pPr>
        <w:pStyle w:val="Heading3"/>
        <w:spacing w:before="147"/>
        <w:jc w:val="both"/>
        <w:rPr>
          <w:rFonts w:asciiTheme="minorHAnsi" w:hAnsiTheme="minorHAnsi"/>
        </w:rPr>
      </w:pPr>
      <w:r w:rsidRPr="00901A17">
        <w:rPr>
          <w:rFonts w:asciiTheme="minorHAnsi" w:hAnsiTheme="minorHAnsi"/>
          <w:color w:val="BF5A14"/>
        </w:rPr>
        <w:lastRenderedPageBreak/>
        <w:t>Abstract</w:t>
      </w:r>
      <w:r w:rsidR="00404E5B" w:rsidRPr="00901A17">
        <w:rPr>
          <w:rFonts w:asciiTheme="minorHAnsi" w:hAnsiTheme="minorHAnsi"/>
          <w:color w:val="BF5A14"/>
        </w:rPr>
        <w:t xml:space="preserve"> </w:t>
      </w:r>
    </w:p>
    <w:p w:rsidR="00AE3E37" w:rsidRPr="00901A17" w:rsidRDefault="00B7320A">
      <w:pPr>
        <w:pStyle w:val="BodyText"/>
        <w:spacing w:before="90" w:line="280" w:lineRule="auto"/>
        <w:ind w:left="100"/>
        <w:jc w:val="both"/>
        <w:rPr>
          <w:rFonts w:asciiTheme="minorHAnsi" w:hAnsiTheme="minorHAnsi"/>
        </w:rPr>
      </w:pPr>
      <w:r w:rsidRPr="00901A17">
        <w:rPr>
          <w:rFonts w:asciiTheme="minorHAnsi" w:hAnsiTheme="minorHAnsi"/>
        </w:rPr>
        <w:t>Fungi are associated with enormous diversity of habitats which include grains. Once occurring on grains, the spores easily proliferate on high moisture content grains, increasing the risk of toxin production, and potentially contaminate the grain thereby posing important risk to the public. The objective of this study was to characterize effects of using selected peak wavelengths of infrared (IR) heat emission for varied durations on inactivation responses of fungi. Previous study was done using a newly-built, single-zone, continuous-flow IR heating system, which utilized catalytic IR heaters powered by natural gas, to dry freshly-harvested corn at initial moisture contents (MC) of 24% to 13% (wet basis). The microbial load on corn at 24% MC when dried at the high intensity and intermittent heating duration of 180 s to 13% MC were significantly reduced from 4.79 ± 0.15 to 2.03 ± 1.2 log CFU/ g of corn</w:t>
      </w:r>
      <w:r w:rsidR="001623A5">
        <w:rPr>
          <w:rFonts w:asciiTheme="minorHAnsi" w:hAnsiTheme="minorHAnsi"/>
        </w:rPr>
        <w:t xml:space="preserve"> (figure 1)</w:t>
      </w:r>
      <w:r w:rsidRPr="00901A17">
        <w:rPr>
          <w:rFonts w:asciiTheme="minorHAnsi" w:hAnsiTheme="minorHAnsi"/>
        </w:rPr>
        <w:t xml:space="preserve">.  In order to identify specific mold that was inactivated, metagenomics techniques was used to characterize effects of selected peak wavelengths that falls in the mid and far IR heating region of the electromagnetic spectrum (3.1 </w:t>
      </w:r>
      <w:proofErr w:type="spellStart"/>
      <w:r w:rsidRPr="00901A17">
        <w:rPr>
          <w:rFonts w:asciiTheme="minorHAnsi" w:hAnsiTheme="minorHAnsi" w:cs="Calibri"/>
        </w:rPr>
        <w:t>μ</w:t>
      </w:r>
      <w:r w:rsidRPr="00901A17">
        <w:rPr>
          <w:rFonts w:asciiTheme="minorHAnsi" w:hAnsiTheme="minorHAnsi"/>
        </w:rPr>
        <w:t>m</w:t>
      </w:r>
      <w:proofErr w:type="spellEnd"/>
      <w:r w:rsidRPr="00901A17">
        <w:rPr>
          <w:rFonts w:asciiTheme="minorHAnsi" w:hAnsiTheme="minorHAnsi"/>
        </w:rPr>
        <w:t xml:space="preserve">, 4.2 </w:t>
      </w:r>
      <w:proofErr w:type="spellStart"/>
      <w:r w:rsidRPr="00901A17">
        <w:rPr>
          <w:rFonts w:asciiTheme="minorHAnsi" w:hAnsiTheme="minorHAnsi" w:cs="Calibri"/>
        </w:rPr>
        <w:t>μ</w:t>
      </w:r>
      <w:r w:rsidRPr="00901A17">
        <w:rPr>
          <w:rFonts w:asciiTheme="minorHAnsi" w:hAnsiTheme="minorHAnsi"/>
        </w:rPr>
        <w:t>m</w:t>
      </w:r>
      <w:proofErr w:type="spellEnd"/>
      <w:r w:rsidRPr="00901A17">
        <w:rPr>
          <w:rFonts w:asciiTheme="minorHAnsi" w:hAnsiTheme="minorHAnsi"/>
        </w:rPr>
        <w:t xml:space="preserve">, and 5.8 </w:t>
      </w:r>
      <w:proofErr w:type="spellStart"/>
      <w:r w:rsidRPr="00901A17">
        <w:rPr>
          <w:rFonts w:asciiTheme="minorHAnsi" w:hAnsiTheme="minorHAnsi" w:cs="Calibri"/>
        </w:rPr>
        <w:t>μ</w:t>
      </w:r>
      <w:r w:rsidRPr="00901A17">
        <w:rPr>
          <w:rFonts w:asciiTheme="minorHAnsi" w:hAnsiTheme="minorHAnsi"/>
        </w:rPr>
        <w:t>m</w:t>
      </w:r>
      <w:proofErr w:type="spellEnd"/>
      <w:r w:rsidRPr="00901A17">
        <w:rPr>
          <w:rFonts w:asciiTheme="minorHAnsi" w:hAnsiTheme="minorHAnsi"/>
        </w:rPr>
        <w:t>) for IR heat emission on inactivation responses of the general fungal microflora on corn; this was tracked for variable treatment durations and IR heating intensities as regulated by the product-to-emitter-gap sizes (11, 22, and 44 cm). Based on the previous results, IR drying of corn shows potential benefits of microbial decontamination which may help the industry prevent mycotoxin development on corn.</w:t>
      </w:r>
    </w:p>
    <w:p w:rsidR="00AE3E37" w:rsidRPr="00901A17" w:rsidRDefault="00A9710C">
      <w:pPr>
        <w:pStyle w:val="Heading3"/>
        <w:spacing w:before="74"/>
        <w:rPr>
          <w:rFonts w:asciiTheme="minorHAnsi" w:hAnsiTheme="minorHAnsi"/>
        </w:rPr>
      </w:pPr>
      <w:r w:rsidRPr="00901A17">
        <w:rPr>
          <w:rFonts w:asciiTheme="minorHAnsi" w:hAnsiTheme="minorHAnsi"/>
          <w:b w:val="0"/>
        </w:rPr>
        <w:br w:type="column"/>
      </w:r>
      <w:r w:rsidRPr="00901A17">
        <w:rPr>
          <w:rFonts w:asciiTheme="minorHAnsi" w:hAnsiTheme="minorHAnsi"/>
          <w:color w:val="BF5A14"/>
        </w:rPr>
        <w:lastRenderedPageBreak/>
        <w:t>Image</w:t>
      </w:r>
    </w:p>
    <w:p w:rsidR="00AE3E37" w:rsidRPr="00901A17" w:rsidRDefault="00901A17">
      <w:pPr>
        <w:pStyle w:val="BodyText"/>
        <w:spacing w:before="2"/>
        <w:rPr>
          <w:rFonts w:asciiTheme="minorHAnsi" w:hAnsiTheme="minorHAnsi"/>
          <w:b/>
          <w:sz w:val="16"/>
        </w:rPr>
      </w:pPr>
      <w:r w:rsidRPr="00C10684">
        <w:rPr>
          <w:noProof/>
        </w:rPr>
        <w:drawing>
          <wp:inline distT="0" distB="0" distL="0" distR="0" wp14:anchorId="07790EC5" wp14:editId="4A38508A">
            <wp:extent cx="2324100" cy="1791901"/>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mold pilot -final-1.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2335812" cy="1800931"/>
                    </a:xfrm>
                    <a:prstGeom prst="rect">
                      <a:avLst/>
                    </a:prstGeom>
                  </pic:spPr>
                </pic:pic>
              </a:graphicData>
            </a:graphic>
          </wp:inline>
        </w:drawing>
      </w:r>
    </w:p>
    <w:p w:rsidR="001623A5" w:rsidRDefault="001623A5" w:rsidP="005973B9">
      <w:pPr>
        <w:spacing w:line="204" w:lineRule="exact"/>
        <w:rPr>
          <w:rFonts w:asciiTheme="minorHAnsi" w:hAnsiTheme="minorHAnsi"/>
          <w:b/>
          <w:color w:val="BF5A14"/>
          <w:sz w:val="20"/>
        </w:rPr>
      </w:pPr>
      <w:r w:rsidRPr="001623A5">
        <w:rPr>
          <w:rFonts w:asciiTheme="minorHAnsi" w:hAnsiTheme="minorHAnsi"/>
          <w:b/>
          <w:sz w:val="20"/>
        </w:rPr>
        <w:t>Figure 1. Effect of initial moisture content and infrared heating intensity (Low, Medium and High corresponding to 2.9, 3.78 and 5.55 kW/m2, respectively) on mold counts (log colony forming units (CFU) per gram of corn sample).</w:t>
      </w:r>
      <w:r w:rsidR="005973B9" w:rsidRPr="00901A17">
        <w:rPr>
          <w:rFonts w:asciiTheme="minorHAnsi" w:hAnsiTheme="minorHAnsi"/>
          <w:b/>
          <w:color w:val="BF5A14"/>
          <w:sz w:val="20"/>
        </w:rPr>
        <w:br/>
      </w:r>
    </w:p>
    <w:p w:rsidR="005973B9" w:rsidRPr="00901A17" w:rsidRDefault="005973B9" w:rsidP="005973B9">
      <w:pPr>
        <w:spacing w:line="204" w:lineRule="exact"/>
        <w:rPr>
          <w:rFonts w:asciiTheme="minorHAnsi" w:hAnsiTheme="minorHAnsi"/>
          <w:b/>
          <w:sz w:val="20"/>
        </w:rPr>
      </w:pPr>
      <w:r w:rsidRPr="00901A17">
        <w:rPr>
          <w:rFonts w:asciiTheme="minorHAnsi" w:hAnsiTheme="minorHAnsi"/>
          <w:b/>
          <w:color w:val="BF5A14"/>
          <w:sz w:val="20"/>
        </w:rPr>
        <w:t xml:space="preserve">Recent Publications </w:t>
      </w:r>
    </w:p>
    <w:p w:rsidR="005973B9" w:rsidRPr="00901A17" w:rsidRDefault="00B7320A" w:rsidP="00B7320A">
      <w:pPr>
        <w:pStyle w:val="ListParagraph"/>
        <w:numPr>
          <w:ilvl w:val="0"/>
          <w:numId w:val="3"/>
        </w:numPr>
        <w:tabs>
          <w:tab w:val="left" w:pos="384"/>
        </w:tabs>
        <w:spacing w:before="103" w:line="216" w:lineRule="exact"/>
        <w:ind w:right="138"/>
        <w:rPr>
          <w:rFonts w:asciiTheme="minorHAnsi" w:hAnsiTheme="minorHAnsi"/>
          <w:sz w:val="18"/>
        </w:rPr>
      </w:pPr>
      <w:r w:rsidRPr="00901A17">
        <w:rPr>
          <w:rFonts w:asciiTheme="minorHAnsi" w:hAnsiTheme="minorHAnsi"/>
          <w:sz w:val="18"/>
        </w:rPr>
        <w:t xml:space="preserve">Wilson S. A., Atungulu, G.G., Couch, A., </w:t>
      </w:r>
      <w:proofErr w:type="spellStart"/>
      <w:r w:rsidRPr="00901A17">
        <w:rPr>
          <w:rFonts w:asciiTheme="minorHAnsi" w:hAnsiTheme="minorHAnsi"/>
          <w:sz w:val="18"/>
        </w:rPr>
        <w:t>Sadaka</w:t>
      </w:r>
      <w:proofErr w:type="spellEnd"/>
      <w:r w:rsidRPr="00901A17">
        <w:rPr>
          <w:rFonts w:asciiTheme="minorHAnsi" w:hAnsiTheme="minorHAnsi"/>
          <w:sz w:val="18"/>
        </w:rPr>
        <w:t>, S. 2015. Radiant heating and tempering treatments for improving rate of moisture removal during drying of shelled corn. American Society of Biological and agricultural Engineers, Applied Engineering Journal, 31(5), 799-808. DOI 10.13031/aea.31.11243.</w:t>
      </w:r>
    </w:p>
    <w:p w:rsidR="00B7320A" w:rsidRPr="00901A17" w:rsidRDefault="00B7320A" w:rsidP="00B7320A">
      <w:pPr>
        <w:pStyle w:val="ListParagraph"/>
        <w:numPr>
          <w:ilvl w:val="0"/>
          <w:numId w:val="3"/>
        </w:numPr>
        <w:tabs>
          <w:tab w:val="left" w:pos="384"/>
        </w:tabs>
        <w:spacing w:line="216" w:lineRule="exact"/>
        <w:ind w:right="138"/>
        <w:rPr>
          <w:rFonts w:asciiTheme="minorHAnsi" w:hAnsiTheme="minorHAnsi"/>
          <w:sz w:val="18"/>
        </w:rPr>
      </w:pPr>
      <w:r w:rsidRPr="00901A17">
        <w:rPr>
          <w:rFonts w:asciiTheme="minorHAnsi" w:hAnsiTheme="minorHAnsi"/>
          <w:sz w:val="18"/>
        </w:rPr>
        <w:t xml:space="preserve">Atungulu Griffiths, Koide Shoji, Shantae Wilson. Fumigation of Brown Rice with Volatiles from Bee </w:t>
      </w:r>
      <w:proofErr w:type="spellStart"/>
      <w:r w:rsidRPr="00901A17">
        <w:rPr>
          <w:rFonts w:asciiTheme="minorHAnsi" w:hAnsiTheme="minorHAnsi"/>
          <w:sz w:val="18"/>
        </w:rPr>
        <w:t>Propolis</w:t>
      </w:r>
      <w:proofErr w:type="spellEnd"/>
      <w:r w:rsidRPr="00901A17">
        <w:rPr>
          <w:rFonts w:asciiTheme="minorHAnsi" w:hAnsiTheme="minorHAnsi"/>
          <w:sz w:val="18"/>
        </w:rPr>
        <w:t xml:space="preserve"> and Impact on Storage Characteristics. J Nutrition Health Food </w:t>
      </w:r>
      <w:proofErr w:type="spellStart"/>
      <w:r w:rsidRPr="00901A17">
        <w:rPr>
          <w:rFonts w:asciiTheme="minorHAnsi" w:hAnsiTheme="minorHAnsi"/>
          <w:sz w:val="18"/>
        </w:rPr>
        <w:t>Sci</w:t>
      </w:r>
      <w:proofErr w:type="spellEnd"/>
      <w:r w:rsidRPr="00901A17">
        <w:rPr>
          <w:rFonts w:asciiTheme="minorHAnsi" w:hAnsiTheme="minorHAnsi"/>
          <w:sz w:val="18"/>
        </w:rPr>
        <w:t xml:space="preserve"> 3(2): 1-9. DOI: </w:t>
      </w:r>
      <w:hyperlink r:id="rId10" w:history="1">
        <w:r w:rsidRPr="00901A17">
          <w:rPr>
            <w:rStyle w:val="Hyperlink"/>
            <w:rFonts w:asciiTheme="minorHAnsi" w:hAnsiTheme="minorHAnsi"/>
            <w:sz w:val="18"/>
          </w:rPr>
          <w:t>http://dx.doi.org/10.15226/jnhfs.2015.00136.LiX</w:t>
        </w:r>
      </w:hyperlink>
      <w:r w:rsidR="005973B9" w:rsidRPr="00901A17">
        <w:rPr>
          <w:rFonts w:asciiTheme="minorHAnsi" w:hAnsiTheme="minorHAnsi"/>
          <w:sz w:val="18"/>
        </w:rPr>
        <w:t xml:space="preserve">, </w:t>
      </w:r>
    </w:p>
    <w:p w:rsidR="00B7320A" w:rsidRPr="00901A17" w:rsidRDefault="00B7320A" w:rsidP="00B7320A">
      <w:pPr>
        <w:pStyle w:val="ListParagraph"/>
        <w:numPr>
          <w:ilvl w:val="0"/>
          <w:numId w:val="3"/>
        </w:numPr>
        <w:tabs>
          <w:tab w:val="left" w:pos="384"/>
        </w:tabs>
        <w:spacing w:before="92" w:line="218" w:lineRule="exact"/>
        <w:rPr>
          <w:rFonts w:asciiTheme="minorHAnsi" w:hAnsiTheme="minorHAnsi"/>
          <w:sz w:val="18"/>
        </w:rPr>
      </w:pPr>
      <w:r w:rsidRPr="00901A17">
        <w:rPr>
          <w:rFonts w:asciiTheme="minorHAnsi" w:hAnsiTheme="minorHAnsi"/>
          <w:sz w:val="18"/>
        </w:rPr>
        <w:t xml:space="preserve">Atungulu G.G., Smith D., Wilson S., </w:t>
      </w:r>
      <w:proofErr w:type="spellStart"/>
      <w:r w:rsidRPr="00901A17">
        <w:rPr>
          <w:rFonts w:asciiTheme="minorHAnsi" w:hAnsiTheme="minorHAnsi"/>
          <w:sz w:val="18"/>
        </w:rPr>
        <w:t>Sadaka</w:t>
      </w:r>
      <w:proofErr w:type="spellEnd"/>
      <w:r w:rsidRPr="00901A17">
        <w:rPr>
          <w:rFonts w:asciiTheme="minorHAnsi" w:hAnsiTheme="minorHAnsi"/>
          <w:sz w:val="18"/>
        </w:rPr>
        <w:t xml:space="preserve"> S., Rogers S. (2016). Assessment of </w:t>
      </w:r>
      <w:proofErr w:type="spellStart"/>
      <w:r w:rsidRPr="00901A17">
        <w:rPr>
          <w:rFonts w:asciiTheme="minorHAnsi" w:hAnsiTheme="minorHAnsi"/>
          <w:sz w:val="18"/>
        </w:rPr>
        <w:t>onepass</w:t>
      </w:r>
      <w:proofErr w:type="spellEnd"/>
      <w:r w:rsidRPr="00901A17">
        <w:rPr>
          <w:rFonts w:asciiTheme="minorHAnsi" w:hAnsiTheme="minorHAnsi"/>
          <w:sz w:val="18"/>
        </w:rPr>
        <w:t xml:space="preserve"> drying of rough rice with an industrial microwave system on milling quality. American Society of Biological and agricultural Engineers, Applied Engineering Journal, Vol. 32(3): 417-429. DOI 10.13031/aea.32.11484.</w:t>
      </w:r>
    </w:p>
    <w:p w:rsidR="00B7320A" w:rsidRPr="00901A17" w:rsidRDefault="00B7320A" w:rsidP="00B7320A">
      <w:pPr>
        <w:pStyle w:val="ListParagraph"/>
        <w:numPr>
          <w:ilvl w:val="0"/>
          <w:numId w:val="3"/>
        </w:numPr>
        <w:tabs>
          <w:tab w:val="left" w:pos="384"/>
        </w:tabs>
        <w:spacing w:before="92" w:line="218" w:lineRule="exact"/>
        <w:rPr>
          <w:rFonts w:asciiTheme="minorHAnsi" w:hAnsiTheme="minorHAnsi"/>
          <w:sz w:val="18"/>
        </w:rPr>
      </w:pPr>
      <w:r w:rsidRPr="00901A17">
        <w:rPr>
          <w:rFonts w:asciiTheme="minorHAnsi" w:hAnsiTheme="minorHAnsi"/>
          <w:sz w:val="18"/>
        </w:rPr>
        <w:t xml:space="preserve">Atungulu G., </w:t>
      </w:r>
      <w:proofErr w:type="spellStart"/>
      <w:r w:rsidRPr="00901A17">
        <w:rPr>
          <w:rFonts w:asciiTheme="minorHAnsi" w:hAnsiTheme="minorHAnsi"/>
          <w:sz w:val="18"/>
        </w:rPr>
        <w:t>Thote</w:t>
      </w:r>
      <w:proofErr w:type="spellEnd"/>
      <w:r w:rsidRPr="00901A17">
        <w:rPr>
          <w:rFonts w:asciiTheme="minorHAnsi" w:hAnsiTheme="minorHAnsi"/>
          <w:sz w:val="18"/>
        </w:rPr>
        <w:t xml:space="preserve"> S., Wilson S. 2016. Storage of Hybrid Rough Rice – Consideration of Microbial Growth Kinetics and Prediction Models. Journal of Stored Product Research, 69(2016), 235-244. </w:t>
      </w:r>
      <w:hyperlink r:id="rId11" w:history="1">
        <w:r w:rsidRPr="00901A17">
          <w:rPr>
            <w:rStyle w:val="Hyperlink"/>
            <w:rFonts w:asciiTheme="minorHAnsi" w:hAnsiTheme="minorHAnsi"/>
            <w:sz w:val="18"/>
          </w:rPr>
          <w:t>http://dx.doi.org/10.1016/j.jspr.2016.09.003</w:t>
        </w:r>
      </w:hyperlink>
      <w:r w:rsidRPr="00901A17">
        <w:rPr>
          <w:rFonts w:asciiTheme="minorHAnsi" w:hAnsiTheme="minorHAnsi"/>
          <w:sz w:val="18"/>
        </w:rPr>
        <w:t>.</w:t>
      </w:r>
    </w:p>
    <w:p w:rsidR="005973B9" w:rsidRPr="001623A5" w:rsidRDefault="00B7320A" w:rsidP="001623A5">
      <w:pPr>
        <w:pStyle w:val="ListParagraph"/>
        <w:numPr>
          <w:ilvl w:val="0"/>
          <w:numId w:val="3"/>
        </w:numPr>
        <w:tabs>
          <w:tab w:val="left" w:pos="384"/>
        </w:tabs>
        <w:spacing w:before="92" w:line="218" w:lineRule="exact"/>
        <w:rPr>
          <w:rFonts w:asciiTheme="minorHAnsi" w:hAnsiTheme="minorHAnsi"/>
          <w:sz w:val="18"/>
        </w:rPr>
      </w:pPr>
      <w:r w:rsidRPr="00901A17">
        <w:rPr>
          <w:rFonts w:asciiTheme="minorHAnsi" w:hAnsiTheme="minorHAnsi"/>
          <w:sz w:val="18"/>
        </w:rPr>
        <w:t xml:space="preserve">Wilson S.A, </w:t>
      </w:r>
      <w:proofErr w:type="spellStart"/>
      <w:r w:rsidRPr="00901A17">
        <w:rPr>
          <w:rFonts w:asciiTheme="minorHAnsi" w:hAnsiTheme="minorHAnsi"/>
          <w:sz w:val="18"/>
        </w:rPr>
        <w:t>Okeyo</w:t>
      </w:r>
      <w:proofErr w:type="spellEnd"/>
      <w:r w:rsidRPr="00901A17">
        <w:rPr>
          <w:rFonts w:asciiTheme="minorHAnsi" w:hAnsiTheme="minorHAnsi"/>
          <w:sz w:val="18"/>
        </w:rPr>
        <w:t xml:space="preserve"> A.A, </w:t>
      </w:r>
      <w:proofErr w:type="spellStart"/>
      <w:r w:rsidRPr="00901A17">
        <w:rPr>
          <w:rFonts w:asciiTheme="minorHAnsi" w:hAnsiTheme="minorHAnsi"/>
          <w:sz w:val="18"/>
        </w:rPr>
        <w:t>Olatunde</w:t>
      </w:r>
      <w:proofErr w:type="spellEnd"/>
      <w:r w:rsidRPr="00901A17">
        <w:rPr>
          <w:rFonts w:asciiTheme="minorHAnsi" w:hAnsiTheme="minorHAnsi"/>
          <w:sz w:val="18"/>
        </w:rPr>
        <w:t xml:space="preserve"> G.A, and Atungulu G.G. 2016. Radiant heat treatments for corn drying and decontamination. Journal of Food Processing and Preservation. 2016; e13193. doi:10.1111/jfpp.13193</w:t>
      </w:r>
      <w:r w:rsidR="001623A5">
        <w:rPr>
          <w:rFonts w:asciiTheme="minorHAnsi" w:hAnsiTheme="minorHAnsi"/>
          <w:sz w:val="18"/>
        </w:rPr>
        <w:t>.</w:t>
      </w:r>
    </w:p>
    <w:p w:rsidR="00AE3E37" w:rsidRPr="00901A17" w:rsidRDefault="00AE3E37" w:rsidP="008756E6">
      <w:pPr>
        <w:tabs>
          <w:tab w:val="left" w:pos="384"/>
        </w:tabs>
        <w:ind w:right="117"/>
        <w:rPr>
          <w:rFonts w:asciiTheme="minorHAnsi" w:hAnsiTheme="minorHAnsi"/>
        </w:rPr>
      </w:pPr>
    </w:p>
    <w:p w:rsidR="00AE3E37" w:rsidRPr="00901A17" w:rsidRDefault="008756E6">
      <w:pPr>
        <w:spacing w:line="200" w:lineRule="exact"/>
        <w:jc w:val="both"/>
        <w:rPr>
          <w:rFonts w:asciiTheme="minorHAnsi" w:hAnsiTheme="minorHAnsi"/>
        </w:rPr>
        <w:sectPr w:rsidR="00AE3E37" w:rsidRPr="00901A17">
          <w:type w:val="continuous"/>
          <w:pgSz w:w="11910" w:h="16840"/>
          <w:pgMar w:top="1740" w:right="600" w:bottom="840" w:left="620" w:header="720" w:footer="720" w:gutter="0"/>
          <w:cols w:num="2" w:space="720" w:equalWidth="0">
            <w:col w:w="5214" w:space="138"/>
            <w:col w:w="5338"/>
          </w:cols>
        </w:sectPr>
      </w:pPr>
      <w:r w:rsidRPr="00901A17">
        <w:rPr>
          <w:rFonts w:asciiTheme="minorHAnsi" w:hAnsiTheme="minorHAnsi"/>
        </w:rPr>
        <w:t xml:space="preserve">   </w:t>
      </w:r>
    </w:p>
    <w:p w:rsidR="00AE3E37" w:rsidRPr="00901A17" w:rsidRDefault="00AE3E37">
      <w:pPr>
        <w:pStyle w:val="BodyText"/>
        <w:rPr>
          <w:rFonts w:asciiTheme="minorHAnsi" w:hAnsiTheme="minorHAnsi"/>
          <w:sz w:val="20"/>
        </w:rPr>
      </w:pPr>
    </w:p>
    <w:p w:rsidR="00AE3E37" w:rsidRPr="00901A17" w:rsidRDefault="00AE3E37">
      <w:pPr>
        <w:pStyle w:val="BodyText"/>
        <w:spacing w:line="40" w:lineRule="exact"/>
        <w:ind w:left="2202"/>
        <w:rPr>
          <w:rFonts w:asciiTheme="minorHAnsi" w:hAnsiTheme="minorHAnsi"/>
          <w:sz w:val="4"/>
        </w:rPr>
      </w:pPr>
    </w:p>
    <w:p w:rsidR="00B7320A" w:rsidRPr="00901A17" w:rsidRDefault="00B7320A" w:rsidP="00B7320A">
      <w:pPr>
        <w:pStyle w:val="BodyText"/>
        <w:rPr>
          <w:rFonts w:asciiTheme="minorHAnsi" w:hAnsiTheme="minorHAnsi" w:cs="Arial"/>
          <w:sz w:val="20"/>
        </w:rPr>
      </w:pPr>
    </w:p>
    <w:p w:rsidR="00B7320A" w:rsidRPr="00901A17" w:rsidRDefault="00B7320A" w:rsidP="00B7320A">
      <w:pPr>
        <w:pStyle w:val="BodyText"/>
        <w:spacing w:line="40" w:lineRule="exact"/>
        <w:ind w:left="2202"/>
        <w:rPr>
          <w:rFonts w:asciiTheme="minorHAnsi" w:hAnsiTheme="minorHAnsi" w:cs="Arial"/>
          <w:sz w:val="4"/>
        </w:rPr>
      </w:pPr>
      <w:r w:rsidRPr="00901A17">
        <w:rPr>
          <w:rFonts w:asciiTheme="minorHAnsi" w:hAnsiTheme="minorHAnsi" w:cs="Arial"/>
          <w:noProof/>
          <w:sz w:val="4"/>
        </w:rPr>
        <mc:AlternateContent>
          <mc:Choice Requires="wpg">
            <w:drawing>
              <wp:inline distT="0" distB="0" distL="0" distR="0" wp14:anchorId="26BEC620" wp14:editId="7FC38F7D">
                <wp:extent cx="3975735" cy="25400"/>
                <wp:effectExtent l="1270" t="0" r="4445" b="3175"/>
                <wp:docPr id="3"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4"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wpg:wgp>
                  </a:graphicData>
                </a:graphic>
              </wp:inline>
            </w:drawing>
          </mc:Choice>
          <mc:Fallback>
            <w:pict>
              <v:group w14:anchorId="52A7139A"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SqiFcMAAADaAAAADwAAAGRycy9kb3ducmV2LnhtbESPT0sDMRTE74LfITzBm00spci2aakW&#10;UfHUf4feHpvXzdLkZU3idv32RhB6HGbmN8x8OXgneoqpDazhcaRAENfBtNxo2O9eH55ApIxs0AUm&#10;DT+UYLm4vZljZcKFN9RvcyMKhFOFGmzOXSVlqi15TKPQERfvFKLHXGRspIl4KXDv5FipqfTYclmw&#10;2NGLpfq8/fYa1OZratXafZz759wf39zn5NBGre/vhtUMRKYhX8P/7XejYQJ/V8oNkIt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K0qohXDAAAA2gAAAA8AAAAAAAAAAAAA&#10;AAAAoQIAAGRycy9kb3ducmV2LnhtbFBLBQYAAAAABAAEAPkAAACRAwAAAAA=&#10;" strokecolor="#004080" strokeweight="2pt"/>
                <w10:anchorlock/>
              </v:group>
            </w:pict>
          </mc:Fallback>
        </mc:AlternateContent>
      </w:r>
    </w:p>
    <w:p w:rsidR="00B7320A" w:rsidRPr="00901A17" w:rsidRDefault="00B7320A" w:rsidP="00B7320A">
      <w:pPr>
        <w:spacing w:before="92"/>
        <w:ind w:right="4234"/>
        <w:rPr>
          <w:rFonts w:asciiTheme="minorHAnsi" w:hAnsiTheme="minorHAnsi" w:cs="Arial"/>
        </w:rPr>
      </w:pPr>
      <w:r w:rsidRPr="00901A17">
        <w:rPr>
          <w:rFonts w:asciiTheme="minorHAnsi" w:hAnsiTheme="minorHAnsi" w:cs="Arial"/>
          <w:noProof/>
        </w:rPr>
        <w:t xml:space="preserve">   </w:t>
      </w:r>
      <w:r w:rsidRPr="00901A17">
        <w:rPr>
          <w:rFonts w:asciiTheme="minorHAnsi" w:hAnsiTheme="minorHAnsi" w:cs="Arial"/>
          <w:color w:val="BF5A14"/>
        </w:rPr>
        <w:t xml:space="preserve">Biography </w:t>
      </w:r>
    </w:p>
    <w:p w:rsidR="00B7320A" w:rsidRPr="00901A17" w:rsidRDefault="00B7320A" w:rsidP="00B7320A">
      <w:pPr>
        <w:spacing w:before="41" w:line="154" w:lineRule="exact"/>
        <w:ind w:left="213" w:right="231"/>
        <w:jc w:val="both"/>
        <w:rPr>
          <w:rFonts w:asciiTheme="minorHAnsi" w:hAnsiTheme="minorHAnsi" w:cs="Arial"/>
          <w:sz w:val="14"/>
        </w:rPr>
      </w:pPr>
      <w:r w:rsidRPr="00901A17">
        <w:rPr>
          <w:rFonts w:asciiTheme="minorHAnsi" w:hAnsiTheme="minorHAnsi" w:cs="Arial"/>
          <w:i/>
          <w:noProof/>
          <w:sz w:val="20"/>
          <w:szCs w:val="20"/>
        </w:rPr>
        <w:drawing>
          <wp:anchor distT="0" distB="0" distL="114300" distR="114300" simplePos="0" relativeHeight="251659264" behindDoc="0" locked="0" layoutInCell="1" allowOverlap="1" wp14:anchorId="0C64B4C3" wp14:editId="0E77442E">
            <wp:simplePos x="0" y="0"/>
            <wp:positionH relativeFrom="column">
              <wp:posOffset>131445</wp:posOffset>
            </wp:positionH>
            <wp:positionV relativeFrom="paragraph">
              <wp:posOffset>-661670</wp:posOffset>
            </wp:positionV>
            <wp:extent cx="511810" cy="767715"/>
            <wp:effectExtent l="0" t="0" r="0" b="0"/>
            <wp:wrapSquare wrapText="bothSides"/>
            <wp:docPr id="1" name="Picture 1" descr="C:\Users\atungulu\Desktop\GGA potrai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tungulu\Desktop\GGA potrait.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11810" cy="76771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B7320A" w:rsidRPr="00901A17" w:rsidRDefault="00B7320A" w:rsidP="00B7320A">
      <w:pPr>
        <w:spacing w:before="41" w:line="154" w:lineRule="exact"/>
        <w:ind w:left="213" w:right="231"/>
        <w:jc w:val="both"/>
        <w:rPr>
          <w:rFonts w:asciiTheme="minorHAnsi" w:hAnsiTheme="minorHAnsi" w:cs="Arial"/>
          <w:sz w:val="14"/>
        </w:rPr>
      </w:pPr>
    </w:p>
    <w:p w:rsidR="00B7320A" w:rsidRPr="00901A17" w:rsidRDefault="00B7320A" w:rsidP="00B7320A">
      <w:pPr>
        <w:spacing w:before="41" w:line="154" w:lineRule="exact"/>
        <w:ind w:left="213" w:right="231"/>
        <w:jc w:val="both"/>
        <w:rPr>
          <w:rFonts w:asciiTheme="minorHAnsi" w:hAnsiTheme="minorHAnsi" w:cs="Arial"/>
          <w:sz w:val="14"/>
        </w:rPr>
      </w:pPr>
      <w:r w:rsidRPr="00901A17">
        <w:rPr>
          <w:rFonts w:asciiTheme="minorHAnsi" w:hAnsiTheme="minorHAnsi" w:cs="Arial"/>
          <w:sz w:val="14"/>
        </w:rPr>
        <w:t xml:space="preserve">Dr. Griffiths G. Atungulu is an Assistant Professor of Grain Process Engineering in the Food Science Department at the University Of Arkansas Division Of Agriculture.  Griffiths’ education has been in agricultural engineering with research specialization in grains process engineering.  He holds Bachelors of Science degree in Agricultural Engineering from </w:t>
      </w:r>
      <w:proofErr w:type="spellStart"/>
      <w:r w:rsidRPr="00901A17">
        <w:rPr>
          <w:rFonts w:asciiTheme="minorHAnsi" w:hAnsiTheme="minorHAnsi" w:cs="Arial"/>
          <w:sz w:val="14"/>
        </w:rPr>
        <w:t>Jomo</w:t>
      </w:r>
      <w:proofErr w:type="spellEnd"/>
      <w:r w:rsidRPr="00901A17">
        <w:rPr>
          <w:rFonts w:asciiTheme="minorHAnsi" w:hAnsiTheme="minorHAnsi" w:cs="Arial"/>
          <w:sz w:val="14"/>
        </w:rPr>
        <w:t xml:space="preserve"> Kenyatta University of Agriculture and Technology, Kenya and MS and Ph.D. degrees in Agricultural Engineering from Iwate University, Japan. At present, his program is focused on engineering effective strategies to maintain grain quality and prevent mycotoxin development.  </w:t>
      </w:r>
    </w:p>
    <w:p w:rsidR="00B7320A" w:rsidRPr="00901A17" w:rsidRDefault="00B7320A" w:rsidP="00B7320A">
      <w:pPr>
        <w:spacing w:before="41" w:line="154" w:lineRule="exact"/>
        <w:ind w:left="213" w:right="231"/>
        <w:jc w:val="center"/>
        <w:rPr>
          <w:rFonts w:asciiTheme="minorHAnsi" w:hAnsiTheme="minorHAnsi" w:cs="Arial"/>
          <w:sz w:val="14"/>
        </w:rPr>
      </w:pPr>
      <w:r w:rsidRPr="00901A17">
        <w:rPr>
          <w:rFonts w:asciiTheme="minorHAnsi" w:hAnsiTheme="minorHAnsi" w:cs="Arial"/>
          <w:sz w:val="14"/>
        </w:rPr>
        <w:t>Email: atungulu@uark.edu</w:t>
      </w:r>
    </w:p>
    <w:p w:rsidR="00AE3E37" w:rsidRPr="00901A17" w:rsidRDefault="00AE3E37">
      <w:pPr>
        <w:spacing w:before="62"/>
        <w:ind w:left="4217" w:right="4235"/>
        <w:jc w:val="center"/>
        <w:rPr>
          <w:rFonts w:asciiTheme="minorHAnsi" w:hAnsiTheme="minorHAnsi"/>
          <w:sz w:val="14"/>
        </w:rPr>
      </w:pPr>
    </w:p>
    <w:p w:rsidR="00AE3E37" w:rsidRPr="00901A17" w:rsidRDefault="00AE3E37">
      <w:pPr>
        <w:pStyle w:val="BodyText"/>
        <w:spacing w:before="2"/>
        <w:rPr>
          <w:rFonts w:asciiTheme="minorHAnsi" w:hAnsiTheme="minorHAnsi"/>
          <w:sz w:val="19"/>
        </w:rPr>
      </w:pPr>
    </w:p>
    <w:p w:rsidR="00901A17" w:rsidRPr="00901A17" w:rsidRDefault="00901A17" w:rsidP="00901A17">
      <w:pPr>
        <w:spacing w:before="92"/>
        <w:ind w:right="4234"/>
        <w:rPr>
          <w:rFonts w:asciiTheme="minorHAnsi" w:hAnsiTheme="minorHAnsi" w:cs="Arial"/>
        </w:rPr>
      </w:pPr>
      <w:r>
        <w:rPr>
          <w:rFonts w:asciiTheme="minorHAnsi" w:hAnsiTheme="minorHAnsi" w:cs="Arial"/>
        </w:rPr>
        <w:lastRenderedPageBreak/>
        <w:t xml:space="preserve">    </w:t>
      </w:r>
      <w:r w:rsidR="000E538D">
        <w:rPr>
          <w:rFonts w:asciiTheme="minorHAnsi" w:hAnsiTheme="minorHAnsi" w:cs="Arial"/>
          <w:noProof/>
        </w:rPr>
        <w:drawing>
          <wp:inline distT="0" distB="0" distL="0" distR="0">
            <wp:extent cx="923290" cy="1187652"/>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Shantae Wilson (2).jpg"/>
                    <pic:cNvPicPr/>
                  </pic:nvPicPr>
                  <pic:blipFill rotWithShape="1">
                    <a:blip r:embed="rId13" cstate="print">
                      <a:extLst>
                        <a:ext uri="{28A0092B-C50C-407E-A947-70E740481C1C}">
                          <a14:useLocalDpi xmlns:a14="http://schemas.microsoft.com/office/drawing/2010/main" val="0"/>
                        </a:ext>
                      </a:extLst>
                    </a:blip>
                    <a:srcRect l="9351" t="16137"/>
                    <a:stretch/>
                  </pic:blipFill>
                  <pic:spPr bwMode="auto">
                    <a:xfrm>
                      <a:off x="0" y="0"/>
                      <a:ext cx="930579" cy="1197028"/>
                    </a:xfrm>
                    <a:prstGeom prst="rect">
                      <a:avLst/>
                    </a:prstGeom>
                    <a:ln>
                      <a:noFill/>
                    </a:ln>
                    <a:extLst>
                      <a:ext uri="{53640926-AAD7-44D8-BBD7-CCE9431645EC}">
                        <a14:shadowObscured xmlns:a14="http://schemas.microsoft.com/office/drawing/2010/main"/>
                      </a:ext>
                    </a:extLst>
                  </pic:spPr>
                </pic:pic>
              </a:graphicData>
            </a:graphic>
          </wp:inline>
        </w:drawing>
      </w:r>
    </w:p>
    <w:p w:rsidR="00901A17" w:rsidRPr="00410BEB" w:rsidRDefault="00901A17" w:rsidP="00901A17">
      <w:pPr>
        <w:spacing w:before="41" w:line="154" w:lineRule="exact"/>
        <w:ind w:left="213" w:right="231"/>
        <w:jc w:val="both"/>
        <w:rPr>
          <w:rFonts w:asciiTheme="minorHAnsi" w:hAnsiTheme="minorHAnsi" w:cs="Arial"/>
          <w:sz w:val="14"/>
          <w:szCs w:val="14"/>
        </w:rPr>
      </w:pPr>
      <w:r w:rsidRPr="00410BEB">
        <w:rPr>
          <w:rFonts w:asciiTheme="minorHAnsi" w:hAnsiTheme="minorHAnsi" w:cs="Arial"/>
          <w:sz w:val="14"/>
          <w:szCs w:val="14"/>
        </w:rPr>
        <w:t xml:space="preserve">Shantae Wilson is a PhD student at The University of Arkansas in the department of food science with 4 years of research experience in </w:t>
      </w:r>
      <w:r w:rsidR="00475B02" w:rsidRPr="00475B02">
        <w:rPr>
          <w:rFonts w:asciiTheme="minorHAnsi" w:hAnsiTheme="minorHAnsi" w:cs="Arial"/>
          <w:sz w:val="14"/>
          <w:szCs w:val="14"/>
        </w:rPr>
        <w:t xml:space="preserve">the genetic basis of plant-fungal interactions </w:t>
      </w:r>
      <w:r w:rsidR="00475B02">
        <w:rPr>
          <w:rFonts w:asciiTheme="minorHAnsi" w:hAnsiTheme="minorHAnsi" w:cs="Arial"/>
          <w:sz w:val="14"/>
          <w:szCs w:val="14"/>
        </w:rPr>
        <w:t xml:space="preserve">and microbiology. </w:t>
      </w:r>
      <w:r w:rsidR="00475B02" w:rsidRPr="00475B02">
        <w:rPr>
          <w:rFonts w:asciiTheme="minorHAnsi" w:hAnsiTheme="minorHAnsi" w:cs="Arial"/>
          <w:sz w:val="14"/>
          <w:szCs w:val="14"/>
        </w:rPr>
        <w:t xml:space="preserve">She is interested in obtaining a challenging position </w:t>
      </w:r>
      <w:r w:rsidR="00475B02">
        <w:rPr>
          <w:rFonts w:asciiTheme="minorHAnsi" w:hAnsiTheme="minorHAnsi" w:cs="Arial"/>
          <w:sz w:val="14"/>
          <w:szCs w:val="14"/>
        </w:rPr>
        <w:t>in the</w:t>
      </w:r>
      <w:r w:rsidR="00475B02" w:rsidRPr="00475B02">
        <w:rPr>
          <w:rFonts w:asciiTheme="minorHAnsi" w:hAnsiTheme="minorHAnsi" w:cs="Arial"/>
          <w:sz w:val="14"/>
          <w:szCs w:val="14"/>
        </w:rPr>
        <w:t xml:space="preserve"> Food </w:t>
      </w:r>
      <w:r w:rsidR="00410BEB">
        <w:rPr>
          <w:rFonts w:asciiTheme="minorHAnsi" w:hAnsiTheme="minorHAnsi" w:cs="Arial"/>
          <w:sz w:val="14"/>
          <w:szCs w:val="14"/>
        </w:rPr>
        <w:t>Industry</w:t>
      </w:r>
      <w:r w:rsidR="00475B02">
        <w:rPr>
          <w:rFonts w:asciiTheme="minorHAnsi" w:hAnsiTheme="minorHAnsi" w:cs="Arial"/>
          <w:sz w:val="14"/>
          <w:szCs w:val="14"/>
        </w:rPr>
        <w:t xml:space="preserve"> to utilize her</w:t>
      </w:r>
      <w:r w:rsidR="00475B02" w:rsidRPr="00475B02">
        <w:rPr>
          <w:rFonts w:asciiTheme="minorHAnsi" w:hAnsiTheme="minorHAnsi" w:cs="Arial"/>
          <w:sz w:val="14"/>
          <w:szCs w:val="14"/>
        </w:rPr>
        <w:t xml:space="preserve"> research </w:t>
      </w:r>
      <w:r w:rsidR="00475B02">
        <w:rPr>
          <w:rFonts w:asciiTheme="minorHAnsi" w:hAnsiTheme="minorHAnsi" w:cs="Arial"/>
          <w:sz w:val="14"/>
          <w:szCs w:val="14"/>
        </w:rPr>
        <w:t>abilities</w:t>
      </w:r>
      <w:r w:rsidR="00475B02" w:rsidRPr="00475B02">
        <w:rPr>
          <w:rFonts w:asciiTheme="minorHAnsi" w:hAnsiTheme="minorHAnsi" w:cs="Arial"/>
          <w:sz w:val="14"/>
          <w:szCs w:val="14"/>
        </w:rPr>
        <w:t xml:space="preserve"> to improve the efficiency and safety of agricultural establishments and products.</w:t>
      </w:r>
      <w:r w:rsidRPr="00410BEB">
        <w:rPr>
          <w:rFonts w:asciiTheme="minorHAnsi" w:hAnsiTheme="minorHAnsi" w:cs="Arial"/>
          <w:sz w:val="14"/>
          <w:szCs w:val="14"/>
        </w:rPr>
        <w:t xml:space="preserve"> </w:t>
      </w:r>
    </w:p>
    <w:p w:rsidR="00901A17" w:rsidRPr="00410BEB" w:rsidRDefault="00901A17" w:rsidP="00901A17">
      <w:pPr>
        <w:spacing w:before="62"/>
        <w:ind w:left="4217" w:right="4235"/>
        <w:jc w:val="center"/>
        <w:rPr>
          <w:rFonts w:asciiTheme="minorHAnsi" w:hAnsiTheme="minorHAnsi"/>
          <w:sz w:val="14"/>
          <w:szCs w:val="14"/>
        </w:rPr>
        <w:sectPr w:rsidR="00901A17" w:rsidRPr="00410BEB" w:rsidSect="00577DAF">
          <w:type w:val="continuous"/>
          <w:pgSz w:w="11910" w:h="16840"/>
          <w:pgMar w:top="1740" w:right="600" w:bottom="840" w:left="620" w:header="720" w:footer="720" w:gutter="0"/>
          <w:cols w:space="720"/>
        </w:sectPr>
      </w:pPr>
      <w:r w:rsidRPr="00410BEB">
        <w:rPr>
          <w:rFonts w:asciiTheme="minorHAnsi" w:hAnsiTheme="minorHAnsi" w:cs="Arial"/>
          <w:sz w:val="14"/>
          <w:szCs w:val="14"/>
        </w:rPr>
        <w:t>Email: saw012@uark.edu</w:t>
      </w:r>
    </w:p>
    <w:p w:rsidR="00AE3E37" w:rsidRPr="00901A17" w:rsidRDefault="00901A17" w:rsidP="00901A17">
      <w:pPr>
        <w:pStyle w:val="BodyText"/>
        <w:tabs>
          <w:tab w:val="left" w:pos="664"/>
          <w:tab w:val="left" w:pos="7755"/>
        </w:tabs>
        <w:rPr>
          <w:rFonts w:asciiTheme="minorHAnsi" w:hAnsiTheme="minorHAnsi"/>
          <w:sz w:val="20"/>
        </w:rPr>
      </w:pPr>
      <w:r w:rsidRPr="00901A17">
        <w:rPr>
          <w:rFonts w:asciiTheme="minorHAnsi" w:hAnsiTheme="minorHAnsi"/>
          <w:sz w:val="20"/>
        </w:rPr>
        <w:lastRenderedPageBreak/>
        <w:tab/>
      </w:r>
    </w:p>
    <w:p w:rsidR="00AE3E37" w:rsidRPr="00901A17" w:rsidRDefault="00AE3E37">
      <w:pPr>
        <w:pStyle w:val="BodyText"/>
        <w:rPr>
          <w:rFonts w:asciiTheme="minorHAnsi" w:hAnsiTheme="minorHAnsi"/>
          <w:sz w:val="20"/>
        </w:rPr>
      </w:pPr>
    </w:p>
    <w:p w:rsidR="00AE3E37" w:rsidRPr="00901A17" w:rsidRDefault="00AE3E37">
      <w:pPr>
        <w:rPr>
          <w:rFonts w:asciiTheme="minorHAnsi" w:hAnsiTheme="minorHAnsi"/>
          <w:sz w:val="24"/>
        </w:rPr>
        <w:sectPr w:rsidR="00AE3E37" w:rsidRPr="00901A17">
          <w:type w:val="continuous"/>
          <w:pgSz w:w="11910" w:h="16840"/>
          <w:pgMar w:top="1740" w:right="600" w:bottom="840" w:left="620" w:header="720" w:footer="720" w:gutter="0"/>
          <w:cols w:space="720"/>
        </w:sectPr>
      </w:pPr>
    </w:p>
    <w:p w:rsidR="00AE3E37" w:rsidRPr="00901A17" w:rsidRDefault="00AE3E37">
      <w:pPr>
        <w:pStyle w:val="BodyText"/>
        <w:spacing w:before="3"/>
        <w:rPr>
          <w:rFonts w:asciiTheme="minorHAnsi" w:hAnsiTheme="minorHAnsi"/>
          <w:sz w:val="26"/>
        </w:rPr>
      </w:pPr>
    </w:p>
    <w:sectPr w:rsidR="00AE3E37" w:rsidRPr="00901A1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A104B" w:rsidRDefault="00AA104B">
      <w:r>
        <w:separator/>
      </w:r>
    </w:p>
  </w:endnote>
  <w:endnote w:type="continuationSeparator" w:id="0">
    <w:p w:rsidR="00AA104B" w:rsidRDefault="00AA1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A104B" w:rsidRDefault="00AA104B">
      <w:r>
        <w:separator/>
      </w:r>
    </w:p>
  </w:footnote>
  <w:footnote w:type="continuationSeparator" w:id="0">
    <w:p w:rsidR="00AA104B" w:rsidRDefault="00AA104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E2911"/>
    <w:rsid w:val="000E538D"/>
    <w:rsid w:val="00114E0F"/>
    <w:rsid w:val="001263DF"/>
    <w:rsid w:val="001623A5"/>
    <w:rsid w:val="00292ED9"/>
    <w:rsid w:val="00404E5B"/>
    <w:rsid w:val="00410BEB"/>
    <w:rsid w:val="00414F7B"/>
    <w:rsid w:val="004355DC"/>
    <w:rsid w:val="004749B4"/>
    <w:rsid w:val="00475B02"/>
    <w:rsid w:val="00494130"/>
    <w:rsid w:val="004F3523"/>
    <w:rsid w:val="005973B9"/>
    <w:rsid w:val="005B3A56"/>
    <w:rsid w:val="006060CE"/>
    <w:rsid w:val="0063497F"/>
    <w:rsid w:val="006B5C9B"/>
    <w:rsid w:val="00873DF0"/>
    <w:rsid w:val="008756E6"/>
    <w:rsid w:val="00901A17"/>
    <w:rsid w:val="009B2D44"/>
    <w:rsid w:val="009B3385"/>
    <w:rsid w:val="00A07E82"/>
    <w:rsid w:val="00A9710C"/>
    <w:rsid w:val="00AA104B"/>
    <w:rsid w:val="00AE3E37"/>
    <w:rsid w:val="00B21A57"/>
    <w:rsid w:val="00B7320A"/>
    <w:rsid w:val="00B902A4"/>
    <w:rsid w:val="00C00455"/>
    <w:rsid w:val="00C33602"/>
    <w:rsid w:val="00CD6F55"/>
    <w:rsid w:val="00DE3104"/>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1E81B977-72E5-4A95-BB62-1472070AE9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3.jpeg"/><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dx.doi.org/10.1016/j.jspr.2016.09.003"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dx.doi.org/10.15226/jnhfs.2015.00136.LiX" TargetMode="External"/><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44</TotalTime>
  <Pages>2</Pages>
  <Words>680</Words>
  <Characters>3878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4549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shantae</cp:lastModifiedBy>
  <cp:revision>5</cp:revision>
  <dcterms:created xsi:type="dcterms:W3CDTF">2016-12-07T10:18:00Z</dcterms:created>
  <dcterms:modified xsi:type="dcterms:W3CDTF">2017-01-01T03:04:00Z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