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B48" w:rsidRPr="00DC4050" w:rsidRDefault="00BB4674" w:rsidP="00233B48">
      <w:pPr>
        <w:jc w:val="center"/>
        <w:rPr>
          <w:rFonts w:eastAsia="MS PGothic"/>
          <w:color w:val="000000"/>
          <w:sz w:val="28"/>
          <w:szCs w:val="28"/>
        </w:rPr>
      </w:pPr>
      <w:bookmarkStart w:id="0" w:name="_GoBack"/>
      <w:r w:rsidRPr="00BB4674">
        <w:rPr>
          <w:rFonts w:eastAsia="MS PGothic"/>
          <w:color w:val="000000"/>
          <w:sz w:val="28"/>
          <w:szCs w:val="28"/>
        </w:rPr>
        <w:t xml:space="preserve"> </w:t>
      </w:r>
      <w:r w:rsidR="00943D9C" w:rsidRPr="00943D9C">
        <w:rPr>
          <w:rFonts w:eastAsia="MS PGothic"/>
          <w:color w:val="000000"/>
          <w:sz w:val="28"/>
          <w:szCs w:val="28"/>
        </w:rPr>
        <w:t>Study of artichoke</w:t>
      </w:r>
      <w:r w:rsidR="00943D9C">
        <w:rPr>
          <w:rFonts w:eastAsia="MS PGothic"/>
          <w:color w:val="000000"/>
          <w:sz w:val="28"/>
          <w:szCs w:val="28"/>
        </w:rPr>
        <w:t xml:space="preserve"> </w:t>
      </w:r>
      <w:r w:rsidR="00943D9C" w:rsidRPr="00DC4050">
        <w:rPr>
          <w:rFonts w:eastAsia="MS PGothic"/>
          <w:color w:val="000000"/>
          <w:sz w:val="28"/>
          <w:szCs w:val="28"/>
        </w:rPr>
        <w:t xml:space="preserve">(Cynara </w:t>
      </w:r>
      <w:proofErr w:type="spellStart"/>
      <w:r w:rsidR="00943D9C" w:rsidRPr="00DC4050">
        <w:rPr>
          <w:rFonts w:eastAsia="MS PGothic"/>
          <w:color w:val="000000"/>
          <w:sz w:val="28"/>
          <w:szCs w:val="28"/>
        </w:rPr>
        <w:t>scolymus</w:t>
      </w:r>
      <w:proofErr w:type="spellEnd"/>
      <w:r w:rsidR="00943D9C" w:rsidRPr="00DC4050">
        <w:rPr>
          <w:rFonts w:eastAsia="MS PGothic"/>
          <w:color w:val="000000"/>
          <w:sz w:val="28"/>
          <w:szCs w:val="28"/>
        </w:rPr>
        <w:t>)</w:t>
      </w:r>
      <w:r w:rsidR="00943D9C" w:rsidRPr="00943D9C">
        <w:rPr>
          <w:rFonts w:eastAsia="MS PGothic"/>
          <w:color w:val="000000"/>
          <w:sz w:val="28"/>
          <w:szCs w:val="28"/>
        </w:rPr>
        <w:t xml:space="preserve"> extract and its antioxidant content</w:t>
      </w:r>
    </w:p>
    <w:bookmarkEnd w:id="0"/>
    <w:p w:rsidR="00CB7905" w:rsidRPr="00DC4050" w:rsidRDefault="00CB7905" w:rsidP="00CB7905">
      <w:pPr>
        <w:rPr>
          <w:rFonts w:eastAsia="MS PGothic"/>
          <w:b/>
          <w:color w:val="000000"/>
          <w:sz w:val="28"/>
          <w:szCs w:val="28"/>
        </w:rPr>
      </w:pPr>
    </w:p>
    <w:p w:rsidR="00CB7905" w:rsidRPr="006C02D6" w:rsidRDefault="00CB7905" w:rsidP="00CB7905">
      <w:pPr>
        <w:rPr>
          <w:rFonts w:eastAsia="MS PGothic" w:hAnsi="Arial"/>
          <w:color w:val="000000"/>
          <w:lang w:val="es-MX"/>
        </w:rPr>
      </w:pPr>
      <w:r w:rsidRPr="00943D9C">
        <w:rPr>
          <w:rFonts w:eastAsia="MS PGothic" w:hAnsi="Arial"/>
          <w:color w:val="000000"/>
        </w:rPr>
        <w:br/>
      </w:r>
      <w:r w:rsidRPr="006C02D6">
        <w:rPr>
          <w:rFonts w:eastAsia="MS PGothic" w:hAnsi="Arial"/>
          <w:color w:val="000000"/>
          <w:lang w:val="es-MX"/>
        </w:rPr>
        <w:t xml:space="preserve">Name: </w:t>
      </w:r>
      <w:r w:rsidR="00233B48" w:rsidRPr="006C02D6">
        <w:rPr>
          <w:rFonts w:eastAsia="MS PGothic" w:hAnsi="Arial"/>
          <w:color w:val="000000"/>
          <w:lang w:val="es-MX"/>
        </w:rPr>
        <w:t>Fabiola Mallon Mercado</w:t>
      </w:r>
    </w:p>
    <w:p w:rsidR="00CB7905" w:rsidRPr="006C02D6" w:rsidRDefault="00233B48" w:rsidP="00CB7905">
      <w:pPr>
        <w:rPr>
          <w:rFonts w:eastAsia="MS PGothic" w:hAnsi="Arial"/>
          <w:color w:val="000000"/>
          <w:lang w:val="es-MX"/>
        </w:rPr>
      </w:pPr>
      <w:r w:rsidRPr="006C02D6">
        <w:rPr>
          <w:rFonts w:eastAsia="MS PGothic" w:hAnsi="Arial"/>
          <w:color w:val="000000"/>
          <w:lang w:val="es-MX"/>
        </w:rPr>
        <w:t>Instituto Polit</w:t>
      </w:r>
      <w:r w:rsidR="006C02D6" w:rsidRPr="006C02D6">
        <w:rPr>
          <w:rFonts w:eastAsia="MS PGothic" w:hAnsi="Arial"/>
          <w:color w:val="000000"/>
          <w:lang w:val="es-MX"/>
        </w:rPr>
        <w:t>ecnico Nacional CICATA Unidad Legaria</w:t>
      </w:r>
      <w:r w:rsidR="00CB7905" w:rsidRPr="006C02D6">
        <w:rPr>
          <w:rFonts w:eastAsia="MS PGothic" w:hAnsi="Arial"/>
          <w:color w:val="000000"/>
          <w:lang w:val="es-MX"/>
        </w:rPr>
        <w:t xml:space="preserve">, </w:t>
      </w:r>
      <w:r w:rsidR="006C02D6">
        <w:rPr>
          <w:rFonts w:eastAsia="MS PGothic" w:hAnsi="Arial"/>
          <w:color w:val="000000"/>
          <w:lang w:val="es-MX"/>
        </w:rPr>
        <w:t>CP 11500</w:t>
      </w:r>
      <w:r w:rsidR="00CB7905" w:rsidRPr="006C02D6">
        <w:rPr>
          <w:rFonts w:eastAsia="MS PGothic" w:hAnsi="Arial"/>
          <w:color w:val="000000"/>
          <w:lang w:val="es-MX"/>
        </w:rPr>
        <w:t xml:space="preserve">, </w:t>
      </w:r>
      <w:r w:rsidR="006C02D6">
        <w:rPr>
          <w:rFonts w:eastAsia="MS PGothic" w:hAnsi="Arial"/>
          <w:color w:val="000000"/>
          <w:lang w:val="es-MX"/>
        </w:rPr>
        <w:t>MX</w:t>
      </w:r>
    </w:p>
    <w:p w:rsidR="008E4560" w:rsidRPr="006C02D6" w:rsidRDefault="008E4560" w:rsidP="008E4560">
      <w:pPr>
        <w:pStyle w:val="Textoindependiente"/>
        <w:spacing w:before="3"/>
        <w:rPr>
          <w:rFonts w:ascii="Arial"/>
          <w:sz w:val="21"/>
          <w:lang w:val="es-MX"/>
        </w:rPr>
      </w:pPr>
    </w:p>
    <w:p w:rsidR="008E4560" w:rsidRPr="006C02D6" w:rsidRDefault="008E4560" w:rsidP="008E4560">
      <w:pPr>
        <w:rPr>
          <w:rFonts w:ascii="Arial"/>
          <w:sz w:val="21"/>
          <w:lang w:val="es-MX"/>
        </w:rPr>
        <w:sectPr w:rsidR="008E4560" w:rsidRPr="006C02D6" w:rsidSect="008E4560">
          <w:headerReference w:type="default" r:id="rId7"/>
          <w:footerReference w:type="default" r:id="rId8"/>
          <w:pgSz w:w="11910" w:h="16840"/>
          <w:pgMar w:top="1740" w:right="600" w:bottom="840" w:left="620" w:header="541" w:footer="642" w:gutter="0"/>
          <w:cols w:space="720"/>
        </w:sectPr>
      </w:pPr>
    </w:p>
    <w:p w:rsidR="00417B2C" w:rsidRPr="00BB4674" w:rsidRDefault="00417B2C" w:rsidP="008E4560">
      <w:pPr>
        <w:pStyle w:val="Ttulo3"/>
        <w:spacing w:before="147"/>
        <w:jc w:val="both"/>
        <w:rPr>
          <w:color w:val="BF5A14"/>
          <w:lang w:val="es-MX"/>
        </w:rPr>
      </w:pPr>
    </w:p>
    <w:p w:rsidR="00417B2C" w:rsidRDefault="008E4560" w:rsidP="008E4560">
      <w:pPr>
        <w:pStyle w:val="Ttulo3"/>
        <w:spacing w:before="147"/>
        <w:jc w:val="both"/>
        <w:rPr>
          <w:color w:val="BF5A14"/>
        </w:rPr>
      </w:pPr>
      <w:r>
        <w:rPr>
          <w:color w:val="BF5A14"/>
        </w:rPr>
        <w:t>Abstract</w:t>
      </w:r>
    </w:p>
    <w:p w:rsidR="008E4560" w:rsidRDefault="008E4560" w:rsidP="008E4560">
      <w:pPr>
        <w:pStyle w:val="Ttulo3"/>
        <w:spacing w:before="147"/>
        <w:jc w:val="both"/>
      </w:pPr>
      <w:r>
        <w:rPr>
          <w:color w:val="BF5A14"/>
        </w:rPr>
        <w:t xml:space="preserve"> </w:t>
      </w:r>
    </w:p>
    <w:p w:rsid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 xml:space="preserve">The Artichoke (Cynara </w:t>
      </w:r>
      <w:proofErr w:type="spellStart"/>
      <w:r w:rsidRPr="00DC4050">
        <w:rPr>
          <w:rFonts w:ascii="Tw Cen MT" w:eastAsia="Tw Cen MT" w:hAnsi="Tw Cen MT" w:cs="Tw Cen MT"/>
          <w:sz w:val="18"/>
          <w:szCs w:val="18"/>
          <w:lang w:val="en-US" w:eastAsia="en-US"/>
        </w:rPr>
        <w:t>scolymus</w:t>
      </w:r>
      <w:proofErr w:type="spellEnd"/>
      <w:r w:rsidRPr="00DC4050">
        <w:rPr>
          <w:rFonts w:ascii="Tw Cen MT" w:eastAsia="Tw Cen MT" w:hAnsi="Tw Cen MT" w:cs="Tw Cen MT"/>
          <w:sz w:val="18"/>
          <w:szCs w:val="18"/>
          <w:lang w:val="en-US" w:eastAsia="en-US"/>
        </w:rPr>
        <w:t>) is a</w:t>
      </w:r>
      <w:r w:rsidR="00417B2C">
        <w:rPr>
          <w:rFonts w:ascii="Tw Cen MT" w:eastAsia="Tw Cen MT" w:hAnsi="Tw Cen MT" w:cs="Tw Cen MT"/>
          <w:sz w:val="18"/>
          <w:szCs w:val="18"/>
          <w:lang w:val="en-US" w:eastAsia="en-US"/>
        </w:rPr>
        <w:t>n</w:t>
      </w:r>
      <w:r w:rsidRPr="00DC4050">
        <w:rPr>
          <w:rFonts w:ascii="Tw Cen MT" w:eastAsia="Tw Cen MT" w:hAnsi="Tw Cen MT" w:cs="Tw Cen MT"/>
          <w:sz w:val="18"/>
          <w:szCs w:val="18"/>
          <w:lang w:val="en-US" w:eastAsia="en-US"/>
        </w:rPr>
        <w:t xml:space="preserve"> herbaceous plant originally and cultivated mostly in the Mediterranean region of Europe where it has been studied and appreciated for its goodness in health, for which it is known and consumed worldwide. In Mexico there is a minor crop of this plant, although it is not yet mass consumption in the population, the interest of this research is to study and characterize the artichoke produced in Mexico, comparing its properties with what has already been reported, also with these results to promote and publicize the benefits of including it in food.</w:t>
      </w:r>
    </w:p>
    <w:p w:rsidR="006C02D6" w:rsidRP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The ultrasonic extraction methodology (UAE) was used, through which it was possible to obtain an extract with a total phenolic content of: 124</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19 mg EAG / g ES, flavonoid content: 80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17 mg EC / g ES , iron reducing capacity: 610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43 µM ET / 1000ppm, the EC50 value for the DPPH of 110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0.4 ppm and the mass extraction yield was 8.33%. With these results it is concluded that the artichoke has an important phenolic and antioxidant content so there is potential in its use as a source of bioactive compounds with antioxidant activity in the food industry.</w:t>
      </w: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8E4560" w:rsidRDefault="008E4560" w:rsidP="008E4560">
      <w:pPr>
        <w:pStyle w:val="Ttulo3"/>
        <w:spacing w:before="74"/>
      </w:pPr>
      <w:r>
        <w:rPr>
          <w:color w:val="BF5A14"/>
        </w:rPr>
        <w:t>Image</w:t>
      </w:r>
    </w:p>
    <w:p w:rsidR="008E4560" w:rsidRDefault="006C02D6" w:rsidP="008E4560">
      <w:pPr>
        <w:pStyle w:val="Textoindependiente"/>
        <w:spacing w:before="2"/>
        <w:rPr>
          <w:rFonts w:ascii="Arial"/>
          <w:b/>
          <w:sz w:val="16"/>
        </w:rPr>
      </w:pPr>
      <w:r w:rsidRPr="006C02D6">
        <w:rPr>
          <w:rFonts w:ascii="Arial"/>
          <w:b/>
          <w:noProof/>
          <w:sz w:val="16"/>
        </w:rPr>
        <w:drawing>
          <wp:inline distT="0" distB="0" distL="0" distR="0" wp14:anchorId="18BF966A" wp14:editId="5615597E">
            <wp:extent cx="3378994" cy="178625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79818" cy="1786691"/>
                    </a:xfrm>
                    <a:prstGeom prst="rect">
                      <a:avLst/>
                    </a:prstGeom>
                  </pic:spPr>
                </pic:pic>
              </a:graphicData>
            </a:graphic>
          </wp:inline>
        </w:drawing>
      </w:r>
    </w:p>
    <w:p w:rsidR="006C02D6" w:rsidRPr="00417B2C" w:rsidRDefault="006C02D6" w:rsidP="008E4560">
      <w:pPr>
        <w:pStyle w:val="Textoindependiente"/>
        <w:spacing w:before="2"/>
        <w:rPr>
          <w:rFonts w:ascii="Arial"/>
          <w:b/>
          <w:sz w:val="16"/>
        </w:rPr>
      </w:pPr>
      <w:r w:rsidRPr="00BB4674">
        <w:rPr>
          <w:rFonts w:ascii="Arial"/>
          <w:b/>
          <w:sz w:val="16"/>
        </w:rPr>
        <w:t xml:space="preserve">Figure. </w:t>
      </w:r>
      <w:r w:rsidR="00417B2C" w:rsidRPr="00417B2C">
        <w:rPr>
          <w:rFonts w:ascii="Arial"/>
          <w:b/>
          <w:sz w:val="16"/>
        </w:rPr>
        <w:t>Design of experiments and response surfaces</w:t>
      </w:r>
    </w:p>
    <w:p w:rsidR="008E4560" w:rsidRDefault="008E4560" w:rsidP="008E4560">
      <w:pPr>
        <w:spacing w:line="204" w:lineRule="exact"/>
        <w:rPr>
          <w:rFonts w:ascii="Arial"/>
          <w:b/>
          <w:sz w:val="20"/>
        </w:rPr>
      </w:pPr>
      <w:r w:rsidRPr="00417B2C">
        <w:rPr>
          <w:rFonts w:ascii="Arial"/>
          <w:b/>
          <w:color w:val="BF5A14"/>
          <w:sz w:val="20"/>
        </w:rPr>
        <w:br/>
      </w:r>
      <w:r>
        <w:rPr>
          <w:rFonts w:ascii="Arial"/>
          <w:b/>
          <w:color w:val="BF5A14"/>
          <w:sz w:val="20"/>
        </w:rPr>
        <w:t>Recent Publications (minimum 5)</w:t>
      </w:r>
    </w:p>
    <w:p w:rsidR="00DC4050" w:rsidRPr="00FA6314" w:rsidRDefault="00DC4050" w:rsidP="00DC4050">
      <w:pPr>
        <w:pStyle w:val="Textoindependiente"/>
        <w:numPr>
          <w:ilvl w:val="0"/>
          <w:numId w:val="2"/>
        </w:numPr>
        <w:spacing w:line="218" w:lineRule="exact"/>
        <w:ind w:left="426" w:hanging="284"/>
        <w:jc w:val="both"/>
        <w:rPr>
          <w:rFonts w:ascii="Calibri"/>
          <w:lang w:val="es-MX"/>
        </w:rPr>
      </w:pPr>
      <w:r w:rsidRPr="00FA6314">
        <w:rPr>
          <w:rFonts w:ascii="Calibri"/>
          <w:lang w:val="es-MX"/>
        </w:rPr>
        <w:t>Kuklinski, C. Farmacognosia</w:t>
      </w:r>
      <w:r w:rsidRPr="00FA6314">
        <w:rPr>
          <w:rFonts w:ascii="Arial" w:hAnsi="Arial" w:cs="Arial"/>
          <w:lang w:val="es-MX"/>
        </w:rPr>
        <w:t> </w:t>
      </w:r>
      <w:r w:rsidRPr="00FA6314">
        <w:rPr>
          <w:rFonts w:ascii="Calibri"/>
          <w:lang w:val="es-MX"/>
        </w:rPr>
        <w:t>: Estudio de Las Drogas y Sustancias Medicamentosas de Origen Natural; Omega, 2000.</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Mocelin</w:t>
      </w:r>
      <w:proofErr w:type="spellEnd"/>
      <w:r w:rsidRPr="00FA6314">
        <w:rPr>
          <w:rFonts w:ascii="Calibri"/>
        </w:rPr>
        <w:t xml:space="preserve">, R.; Marcon, M.; Santo, G. D.; </w:t>
      </w:r>
      <w:proofErr w:type="spellStart"/>
      <w:r w:rsidRPr="00FA6314">
        <w:rPr>
          <w:rFonts w:ascii="Calibri"/>
        </w:rPr>
        <w:t>Zanatta</w:t>
      </w:r>
      <w:proofErr w:type="spellEnd"/>
      <w:r w:rsidRPr="00FA6314">
        <w:rPr>
          <w:rFonts w:ascii="Calibri"/>
        </w:rPr>
        <w:t xml:space="preserve">, L.; </w:t>
      </w:r>
      <w:proofErr w:type="spellStart"/>
      <w:r w:rsidRPr="00FA6314">
        <w:rPr>
          <w:rFonts w:ascii="Calibri"/>
        </w:rPr>
        <w:t>Sachett</w:t>
      </w:r>
      <w:proofErr w:type="spellEnd"/>
      <w:r w:rsidRPr="00FA6314">
        <w:rPr>
          <w:rFonts w:ascii="Calibri"/>
        </w:rPr>
        <w:t xml:space="preserve">, A.; </w:t>
      </w:r>
      <w:proofErr w:type="spellStart"/>
      <w:r w:rsidRPr="00FA6314">
        <w:rPr>
          <w:rFonts w:ascii="Calibri"/>
        </w:rPr>
        <w:t>Sch</w:t>
      </w:r>
      <w:r w:rsidRPr="00FA6314">
        <w:rPr>
          <w:rFonts w:ascii="Calibri"/>
        </w:rPr>
        <w:t>ö</w:t>
      </w:r>
      <w:r w:rsidRPr="00FA6314">
        <w:rPr>
          <w:rFonts w:ascii="Calibri"/>
        </w:rPr>
        <w:t>nell</w:t>
      </w:r>
      <w:proofErr w:type="spellEnd"/>
      <w:r w:rsidRPr="00FA6314">
        <w:rPr>
          <w:rFonts w:ascii="Calibri"/>
        </w:rPr>
        <w:t xml:space="preserve">, A. P.; </w:t>
      </w:r>
      <w:proofErr w:type="spellStart"/>
      <w:r w:rsidRPr="00FA6314">
        <w:rPr>
          <w:rFonts w:ascii="Calibri"/>
        </w:rPr>
        <w:t>Bevilaqua</w:t>
      </w:r>
      <w:proofErr w:type="spellEnd"/>
      <w:r w:rsidRPr="00FA6314">
        <w:rPr>
          <w:rFonts w:ascii="Calibri"/>
        </w:rPr>
        <w:t xml:space="preserve">, F.; </w:t>
      </w:r>
      <w:proofErr w:type="spellStart"/>
      <w:r w:rsidRPr="00FA6314">
        <w:rPr>
          <w:rFonts w:ascii="Calibri"/>
        </w:rPr>
        <w:t>Giachini</w:t>
      </w:r>
      <w:proofErr w:type="spellEnd"/>
      <w:r w:rsidRPr="00FA6314">
        <w:rPr>
          <w:rFonts w:ascii="Calibri"/>
        </w:rPr>
        <w:t xml:space="preserve">, M.; </w:t>
      </w:r>
      <w:proofErr w:type="spellStart"/>
      <w:r w:rsidRPr="00FA6314">
        <w:rPr>
          <w:rFonts w:ascii="Calibri"/>
        </w:rPr>
        <w:t>Chitolina</w:t>
      </w:r>
      <w:proofErr w:type="spellEnd"/>
      <w:r w:rsidRPr="00FA6314">
        <w:rPr>
          <w:rFonts w:ascii="Calibri"/>
        </w:rPr>
        <w:t xml:space="preserve">, R.; </w:t>
      </w:r>
      <w:proofErr w:type="spellStart"/>
      <w:r w:rsidRPr="00FA6314">
        <w:rPr>
          <w:rFonts w:ascii="Calibri"/>
        </w:rPr>
        <w:t>Wildner</w:t>
      </w:r>
      <w:proofErr w:type="spellEnd"/>
      <w:r w:rsidRPr="00FA6314">
        <w:rPr>
          <w:rFonts w:ascii="Calibri"/>
        </w:rPr>
        <w:t xml:space="preserve">, S. M.; et al. Hypolipidemic and Antiatherogenic Effects of Cynara </w:t>
      </w:r>
      <w:proofErr w:type="spellStart"/>
      <w:r w:rsidRPr="00FA6314">
        <w:rPr>
          <w:rFonts w:ascii="Calibri"/>
        </w:rPr>
        <w:t>Scolymus</w:t>
      </w:r>
      <w:proofErr w:type="spellEnd"/>
      <w:r w:rsidRPr="00FA6314">
        <w:rPr>
          <w:rFonts w:ascii="Calibri"/>
        </w:rPr>
        <w:t xml:space="preserve"> in Cholesterol-Fed Rats. Brazilian J. </w:t>
      </w:r>
      <w:proofErr w:type="spellStart"/>
      <w:r w:rsidRPr="00FA6314">
        <w:rPr>
          <w:rFonts w:ascii="Calibri"/>
        </w:rPr>
        <w:t>Pharmacogn</w:t>
      </w:r>
      <w:proofErr w:type="spellEnd"/>
      <w:r w:rsidRPr="00FA6314">
        <w:rPr>
          <w:rFonts w:ascii="Calibri"/>
        </w:rPr>
        <w:t>. 2016, 26 (2), 233</w:t>
      </w:r>
      <w:r w:rsidRPr="00FA6314">
        <w:rPr>
          <w:rFonts w:ascii="Calibri"/>
        </w:rPr>
        <w:t>–</w:t>
      </w:r>
      <w:r w:rsidRPr="00FA6314">
        <w:rPr>
          <w:rFonts w:ascii="Calibri"/>
        </w:rPr>
        <w:t>239. https://doi.org/10.1016/j.bjp.2015.11.004.</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Lattanzio</w:t>
      </w:r>
      <w:proofErr w:type="spellEnd"/>
      <w:r w:rsidRPr="00FA6314">
        <w:rPr>
          <w:rFonts w:ascii="Calibri"/>
        </w:rPr>
        <w:t xml:space="preserve">, V.; Kroon, P. A.; </w:t>
      </w:r>
      <w:proofErr w:type="spellStart"/>
      <w:r w:rsidRPr="00FA6314">
        <w:rPr>
          <w:rFonts w:ascii="Calibri"/>
        </w:rPr>
        <w:t>Linsalata</w:t>
      </w:r>
      <w:proofErr w:type="spellEnd"/>
      <w:r w:rsidRPr="00FA6314">
        <w:rPr>
          <w:rFonts w:ascii="Calibri"/>
        </w:rPr>
        <w:t xml:space="preserve">, V.; </w:t>
      </w:r>
      <w:proofErr w:type="spellStart"/>
      <w:r w:rsidRPr="00FA6314">
        <w:rPr>
          <w:rFonts w:ascii="Calibri"/>
        </w:rPr>
        <w:t>Cardinali</w:t>
      </w:r>
      <w:proofErr w:type="spellEnd"/>
      <w:r w:rsidRPr="00FA6314">
        <w:rPr>
          <w:rFonts w:ascii="Calibri"/>
        </w:rPr>
        <w:t xml:space="preserve">, A. Globe Artichoke: A Functional Food and Source of Nutraceutical Ingredients. J. </w:t>
      </w:r>
      <w:proofErr w:type="spellStart"/>
      <w:r w:rsidRPr="00FA6314">
        <w:rPr>
          <w:rFonts w:ascii="Calibri"/>
        </w:rPr>
        <w:t>Funct</w:t>
      </w:r>
      <w:proofErr w:type="spellEnd"/>
      <w:r w:rsidRPr="00FA6314">
        <w:rPr>
          <w:rFonts w:ascii="Calibri"/>
        </w:rPr>
        <w:t>. Foods 2009, 1 (2), 131</w:t>
      </w:r>
      <w:r w:rsidRPr="00FA6314">
        <w:rPr>
          <w:rFonts w:ascii="Calibri"/>
        </w:rPr>
        <w:t>–</w:t>
      </w:r>
      <w:r w:rsidRPr="00FA6314">
        <w:rPr>
          <w:rFonts w:ascii="Calibri"/>
        </w:rPr>
        <w:t xml:space="preserve">144. </w:t>
      </w:r>
      <w:hyperlink r:id="rId10" w:history="1">
        <w:r w:rsidRPr="00FA6314">
          <w:rPr>
            <w:rFonts w:ascii="Calibri"/>
          </w:rPr>
          <w:t>https://doi.org/10.1016/j.jff.2009.01.002</w:t>
        </w:r>
      </w:hyperlink>
      <w:r w:rsidRPr="00FA6314">
        <w:rPr>
          <w:rFonts w:ascii="Calibri"/>
        </w:rPr>
        <w:t>.</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Pandino</w:t>
      </w:r>
      <w:proofErr w:type="spellEnd"/>
      <w:r w:rsidRPr="00FA6314">
        <w:rPr>
          <w:rFonts w:ascii="Calibri"/>
        </w:rPr>
        <w:t xml:space="preserve">, G.; Lombardo, S.; </w:t>
      </w:r>
      <w:proofErr w:type="spellStart"/>
      <w:r w:rsidRPr="00FA6314">
        <w:rPr>
          <w:rFonts w:ascii="Calibri"/>
        </w:rPr>
        <w:t>Mauromicale</w:t>
      </w:r>
      <w:proofErr w:type="spellEnd"/>
      <w:r w:rsidRPr="00FA6314">
        <w:rPr>
          <w:rFonts w:ascii="Calibri"/>
        </w:rPr>
        <w:t xml:space="preserve">, G.; Williamson, G. Profile of Polyphenols and Phenolic Acids in Bracts and Receptacles of Globe Artichoke (Cynara </w:t>
      </w:r>
      <w:proofErr w:type="spellStart"/>
      <w:r w:rsidRPr="00FA6314">
        <w:rPr>
          <w:rFonts w:ascii="Calibri"/>
        </w:rPr>
        <w:t>Cardunculus</w:t>
      </w:r>
      <w:proofErr w:type="spellEnd"/>
      <w:r w:rsidRPr="00FA6314">
        <w:rPr>
          <w:rFonts w:ascii="Calibri"/>
        </w:rPr>
        <w:t xml:space="preserve"> Var. </w:t>
      </w:r>
      <w:proofErr w:type="spellStart"/>
      <w:r w:rsidRPr="00FA6314">
        <w:rPr>
          <w:rFonts w:ascii="Calibri"/>
        </w:rPr>
        <w:t>Scolymus</w:t>
      </w:r>
      <w:proofErr w:type="spellEnd"/>
      <w:r w:rsidRPr="00FA6314">
        <w:rPr>
          <w:rFonts w:ascii="Calibri"/>
        </w:rPr>
        <w:t>) Germplasm. J. Food Compos. Anal. 2011, 24 (2), 148</w:t>
      </w:r>
      <w:r w:rsidRPr="00FA6314">
        <w:rPr>
          <w:rFonts w:ascii="Calibri"/>
        </w:rPr>
        <w:t>–</w:t>
      </w:r>
      <w:r w:rsidRPr="00FA6314">
        <w:rPr>
          <w:rFonts w:ascii="Calibri"/>
        </w:rPr>
        <w:t>153. https://doi.org/10.1016/J.JFCA.2010.04.010.</w:t>
      </w:r>
    </w:p>
    <w:p w:rsidR="00DC4050" w:rsidRPr="00FA6314" w:rsidRDefault="00DC4050" w:rsidP="00DC4050">
      <w:pPr>
        <w:pStyle w:val="Textoindependiente"/>
        <w:numPr>
          <w:ilvl w:val="0"/>
          <w:numId w:val="2"/>
        </w:numPr>
        <w:spacing w:line="218" w:lineRule="exact"/>
        <w:ind w:left="426" w:hanging="284"/>
        <w:jc w:val="both"/>
        <w:rPr>
          <w:rFonts w:ascii="Calibri"/>
        </w:rPr>
      </w:pPr>
      <w:r w:rsidRPr="00FA6314">
        <w:rPr>
          <w:rFonts w:ascii="Calibri"/>
        </w:rPr>
        <w:t xml:space="preserve">Mohamed Abdel </w:t>
      </w:r>
      <w:proofErr w:type="spellStart"/>
      <w:r w:rsidRPr="00FA6314">
        <w:rPr>
          <w:rFonts w:ascii="Calibri"/>
        </w:rPr>
        <w:t>Magied</w:t>
      </w:r>
      <w:proofErr w:type="spellEnd"/>
      <w:r w:rsidRPr="00FA6314">
        <w:rPr>
          <w:rFonts w:ascii="Calibri"/>
        </w:rPr>
        <w:t xml:space="preserve">, M.; Din </w:t>
      </w:r>
      <w:proofErr w:type="spellStart"/>
      <w:r w:rsidRPr="00FA6314">
        <w:rPr>
          <w:rFonts w:ascii="Calibri"/>
        </w:rPr>
        <w:t>Hussien</w:t>
      </w:r>
      <w:proofErr w:type="spellEnd"/>
      <w:r w:rsidRPr="00FA6314">
        <w:rPr>
          <w:rFonts w:ascii="Calibri"/>
        </w:rPr>
        <w:t xml:space="preserve">, S. EL; Mohamed </w:t>
      </w:r>
      <w:proofErr w:type="spellStart"/>
      <w:r w:rsidRPr="00FA6314">
        <w:rPr>
          <w:rFonts w:ascii="Calibri"/>
        </w:rPr>
        <w:t>Zaki</w:t>
      </w:r>
      <w:proofErr w:type="spellEnd"/>
      <w:r w:rsidRPr="00FA6314">
        <w:rPr>
          <w:rFonts w:ascii="Calibri"/>
        </w:rPr>
        <w:t xml:space="preserve">, S.; Mohamed Said, R. EL. Artichoke (Cynara </w:t>
      </w:r>
      <w:proofErr w:type="spellStart"/>
      <w:r w:rsidRPr="00FA6314">
        <w:rPr>
          <w:rFonts w:ascii="Calibri"/>
        </w:rPr>
        <w:t>Scolymus</w:t>
      </w:r>
      <w:proofErr w:type="spellEnd"/>
      <w:r w:rsidRPr="00FA6314">
        <w:rPr>
          <w:rFonts w:ascii="Calibri"/>
        </w:rPr>
        <w:t xml:space="preserve"> L.) Leaves and Heads Extracts as Hypoglycemic and </w:t>
      </w:r>
      <w:proofErr w:type="spellStart"/>
      <w:r w:rsidRPr="00FA6314">
        <w:rPr>
          <w:rFonts w:ascii="Calibri"/>
        </w:rPr>
        <w:t>Hypocholesterolemic</w:t>
      </w:r>
      <w:proofErr w:type="spellEnd"/>
      <w:r w:rsidRPr="00FA6314">
        <w:rPr>
          <w:rFonts w:ascii="Calibri"/>
        </w:rPr>
        <w:t xml:space="preserve"> in Rats. J. Food </w:t>
      </w:r>
      <w:proofErr w:type="spellStart"/>
      <w:r w:rsidRPr="00FA6314">
        <w:rPr>
          <w:rFonts w:ascii="Calibri"/>
        </w:rPr>
        <w:t>Nutr</w:t>
      </w:r>
      <w:proofErr w:type="spellEnd"/>
      <w:r w:rsidRPr="00FA6314">
        <w:rPr>
          <w:rFonts w:ascii="Calibri"/>
        </w:rPr>
        <w:t>. Res. 2016, 4 (1), 60</w:t>
      </w:r>
      <w:r w:rsidRPr="00FA6314">
        <w:rPr>
          <w:rFonts w:ascii="Calibri"/>
        </w:rPr>
        <w:t>–</w:t>
      </w:r>
      <w:r w:rsidRPr="00FA6314">
        <w:rPr>
          <w:rFonts w:ascii="Calibri"/>
        </w:rPr>
        <w:t>68. https://doi.org/10.12691/jfnr-4-1-10.</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Textoindependiente"/>
        <w:rPr>
          <w:rFonts w:ascii="Calibri"/>
          <w:sz w:val="20"/>
        </w:rPr>
      </w:pPr>
    </w:p>
    <w:p w:rsidR="008E4560" w:rsidRDefault="008E4560" w:rsidP="008E4560">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E92AEB" w:rsidP="008E4560">
      <w:pPr>
        <w:spacing w:before="92"/>
        <w:ind w:right="4234"/>
        <w:rPr>
          <w:rFonts w:ascii="Arial"/>
        </w:rPr>
      </w:pPr>
      <w:r>
        <w:rPr>
          <w:rFonts w:ascii="Arial" w:hAnsi="Arial" w:cs="Arial"/>
          <w:noProof/>
          <w:lang w:eastAsia="es-ES"/>
        </w:rPr>
        <w:drawing>
          <wp:anchor distT="0" distB="0" distL="114300" distR="114300" simplePos="0" relativeHeight="251661312" behindDoc="1" locked="0" layoutInCell="1" allowOverlap="1" wp14:anchorId="284A5A5A" wp14:editId="4778EE4F">
            <wp:simplePos x="0" y="0"/>
            <wp:positionH relativeFrom="column">
              <wp:posOffset>-1270</wp:posOffset>
            </wp:positionH>
            <wp:positionV relativeFrom="paragraph">
              <wp:posOffset>219075</wp:posOffset>
            </wp:positionV>
            <wp:extent cx="506730" cy="506730"/>
            <wp:effectExtent l="0" t="0" r="1270" b="1270"/>
            <wp:wrapTight wrapText="bothSides">
              <wp:wrapPolygon edited="0">
                <wp:start x="0" y="0"/>
                <wp:lineTo x="0" y="21113"/>
                <wp:lineTo x="21113" y="21113"/>
                <wp:lineTo x="21113" y="0"/>
                <wp:lineTo x="0" y="0"/>
              </wp:wrapPolygon>
            </wp:wrapTight>
            <wp:docPr id="26" name="Imagen 26" descr="Imagen que contiene ropa,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pantalla 2019-03-12 a la(s) 21.42.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30" cy="506730"/>
                    </a:xfrm>
                    <a:prstGeom prst="rect">
                      <a:avLst/>
                    </a:prstGeom>
                  </pic:spPr>
                </pic:pic>
              </a:graphicData>
            </a:graphic>
            <wp14:sizeRelH relativeFrom="page">
              <wp14:pctWidth>0</wp14:pctWidth>
            </wp14:sizeRelH>
            <wp14:sizeRelV relativeFrom="page">
              <wp14:pctHeight>0</wp14:pctHeight>
            </wp14:sizeRelV>
          </wp:anchor>
        </w:drawing>
      </w:r>
      <w:r w:rsidR="008E4560">
        <w:rPr>
          <w:noProof/>
        </w:rPr>
        <w:t xml:space="preserve">              </w:t>
      </w:r>
      <w:r w:rsidR="008E4560">
        <w:rPr>
          <w:rFonts w:ascii="Arial"/>
          <w:color w:val="BF5A14"/>
        </w:rPr>
        <w:t>Biography</w:t>
      </w:r>
    </w:p>
    <w:p w:rsidR="008E4560" w:rsidRDefault="004B385C" w:rsidP="008E4560">
      <w:pPr>
        <w:spacing w:before="41" w:line="154" w:lineRule="exact"/>
        <w:ind w:left="213" w:right="231"/>
        <w:jc w:val="both"/>
        <w:rPr>
          <w:rFonts w:ascii="Arial"/>
          <w:sz w:val="14"/>
        </w:rPr>
      </w:pPr>
      <w:r w:rsidRPr="004B385C">
        <w:rPr>
          <w:rFonts w:ascii="Arial"/>
          <w:sz w:val="14"/>
        </w:rPr>
        <w:t>Fabiola Mallon is Food Engineer, currently specializes in obtaining, studying and characterizing natural extracts and a passion to improve health and well-being through the benefits of natural foods. She joined the postgraduate Biomaterials team which specialize in the subject, improving the study and evaluation techniques learned. Uses a method of economic extraction, fast and low energy achieving good results that will soon be applied to an in vivo model followed by the design of a new product qualified as functional food.</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00DC4050" w:rsidRPr="00A00CBC">
          <w:rPr>
            <w:rStyle w:val="Hipervnculo"/>
            <w:rFonts w:ascii="Arial"/>
            <w:sz w:val="14"/>
          </w:rPr>
          <w:t>fabiola.mallon@gmail.com</w:t>
        </w:r>
      </w:hyperlink>
    </w:p>
    <w:p w:rsidR="008E4560" w:rsidRDefault="008E4560" w:rsidP="008E4560">
      <w:pPr>
        <w:pStyle w:val="Textoindependiente"/>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Textoindependiente"/>
        <w:rPr>
          <w:rFonts w:ascii="Arial"/>
          <w:sz w:val="20"/>
        </w:rPr>
      </w:pPr>
    </w:p>
    <w:p w:rsidR="008E4560" w:rsidRDefault="008E4560" w:rsidP="008E4560">
      <w:pPr>
        <w:pStyle w:val="Textoindependiente"/>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Textoindependiente"/>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D98" w:rsidRDefault="00792D98">
      <w:r>
        <w:separator/>
      </w:r>
    </w:p>
  </w:endnote>
  <w:endnote w:type="continuationSeparator" w:id="0">
    <w:p w:rsidR="00792D98" w:rsidRDefault="00792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92D98"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792D98"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D98" w:rsidRDefault="00792D98">
      <w:r>
        <w:separator/>
      </w:r>
    </w:p>
  </w:footnote>
  <w:footnote w:type="continuationSeparator" w:id="0">
    <w:p w:rsidR="00792D98" w:rsidRDefault="00792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92D98">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792D98">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271AD5"/>
    <w:multiLevelType w:val="hybridMultilevel"/>
    <w:tmpl w:val="215416F4"/>
    <w:lvl w:ilvl="0" w:tplc="E4EEFA68">
      <w:start w:val="1"/>
      <w:numFmt w:val="decimal"/>
      <w:lvlText w:val="%1."/>
      <w:lvlJc w:val="left"/>
      <w:pPr>
        <w:ind w:left="743" w:hanging="360"/>
      </w:pPr>
      <w:rPr>
        <w:rFonts w:hint="default"/>
      </w:rPr>
    </w:lvl>
    <w:lvl w:ilvl="1" w:tplc="080A0019" w:tentative="1">
      <w:start w:val="1"/>
      <w:numFmt w:val="lowerLetter"/>
      <w:lvlText w:val="%2."/>
      <w:lvlJc w:val="left"/>
      <w:pPr>
        <w:ind w:left="1463" w:hanging="360"/>
      </w:pPr>
    </w:lvl>
    <w:lvl w:ilvl="2" w:tplc="080A001B" w:tentative="1">
      <w:start w:val="1"/>
      <w:numFmt w:val="lowerRoman"/>
      <w:lvlText w:val="%3."/>
      <w:lvlJc w:val="right"/>
      <w:pPr>
        <w:ind w:left="2183" w:hanging="180"/>
      </w:pPr>
    </w:lvl>
    <w:lvl w:ilvl="3" w:tplc="080A000F" w:tentative="1">
      <w:start w:val="1"/>
      <w:numFmt w:val="decimal"/>
      <w:lvlText w:val="%4."/>
      <w:lvlJc w:val="left"/>
      <w:pPr>
        <w:ind w:left="2903" w:hanging="360"/>
      </w:pPr>
    </w:lvl>
    <w:lvl w:ilvl="4" w:tplc="080A0019" w:tentative="1">
      <w:start w:val="1"/>
      <w:numFmt w:val="lowerLetter"/>
      <w:lvlText w:val="%5."/>
      <w:lvlJc w:val="left"/>
      <w:pPr>
        <w:ind w:left="3623" w:hanging="360"/>
      </w:pPr>
    </w:lvl>
    <w:lvl w:ilvl="5" w:tplc="080A001B" w:tentative="1">
      <w:start w:val="1"/>
      <w:numFmt w:val="lowerRoman"/>
      <w:lvlText w:val="%6."/>
      <w:lvlJc w:val="right"/>
      <w:pPr>
        <w:ind w:left="4343" w:hanging="180"/>
      </w:pPr>
    </w:lvl>
    <w:lvl w:ilvl="6" w:tplc="080A000F" w:tentative="1">
      <w:start w:val="1"/>
      <w:numFmt w:val="decimal"/>
      <w:lvlText w:val="%7."/>
      <w:lvlJc w:val="left"/>
      <w:pPr>
        <w:ind w:left="5063" w:hanging="360"/>
      </w:pPr>
    </w:lvl>
    <w:lvl w:ilvl="7" w:tplc="080A0019" w:tentative="1">
      <w:start w:val="1"/>
      <w:numFmt w:val="lowerLetter"/>
      <w:lvlText w:val="%8."/>
      <w:lvlJc w:val="left"/>
      <w:pPr>
        <w:ind w:left="5783" w:hanging="360"/>
      </w:pPr>
    </w:lvl>
    <w:lvl w:ilvl="8" w:tplc="080A001B" w:tentative="1">
      <w:start w:val="1"/>
      <w:numFmt w:val="lowerRoman"/>
      <w:lvlText w:val="%9."/>
      <w:lvlJc w:val="right"/>
      <w:pPr>
        <w:ind w:left="6503"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560"/>
    <w:rsid w:val="00177967"/>
    <w:rsid w:val="00233B48"/>
    <w:rsid w:val="002E1DEB"/>
    <w:rsid w:val="0036476D"/>
    <w:rsid w:val="00417B2C"/>
    <w:rsid w:val="004B385C"/>
    <w:rsid w:val="00657443"/>
    <w:rsid w:val="006C02D6"/>
    <w:rsid w:val="00792D98"/>
    <w:rsid w:val="008E4560"/>
    <w:rsid w:val="00943D9C"/>
    <w:rsid w:val="00BB4674"/>
    <w:rsid w:val="00CB7905"/>
    <w:rsid w:val="00DC4050"/>
    <w:rsid w:val="00E92AEB"/>
    <w:rsid w:val="00FB3069"/>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AC72D"/>
  <w15:docId w15:val="{D495BC79-FE9A-5D4A-8068-6E2DC4B9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8E4560"/>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E4560"/>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8E4560"/>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8E4560"/>
    <w:rPr>
      <w:sz w:val="18"/>
      <w:szCs w:val="18"/>
    </w:rPr>
  </w:style>
  <w:style w:type="character" w:customStyle="1" w:styleId="TextoindependienteCar">
    <w:name w:val="Texto independiente Car"/>
    <w:basedOn w:val="Fuentedeprrafopredeter"/>
    <w:link w:val="Textoindependiente"/>
    <w:uiPriority w:val="1"/>
    <w:rsid w:val="008E4560"/>
    <w:rPr>
      <w:rFonts w:ascii="Tw Cen MT" w:eastAsia="Tw Cen MT" w:hAnsi="Tw Cen MT" w:cs="Tw Cen MT"/>
      <w:sz w:val="18"/>
      <w:szCs w:val="18"/>
      <w:lang w:val="en-US"/>
    </w:rPr>
  </w:style>
  <w:style w:type="paragraph" w:styleId="Prrafodelista">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8E4560"/>
    <w:rPr>
      <w:color w:val="0000FF" w:themeColor="hyperlink"/>
      <w:u w:val="single"/>
    </w:rPr>
  </w:style>
  <w:style w:type="paragraph" w:styleId="Textodeglobo">
    <w:name w:val="Balloon Text"/>
    <w:basedOn w:val="Normal"/>
    <w:link w:val="TextodegloboCar"/>
    <w:uiPriority w:val="99"/>
    <w:semiHidden/>
    <w:unhideWhenUsed/>
    <w:rsid w:val="008E4560"/>
    <w:rPr>
      <w:rFonts w:ascii="Tahoma" w:hAnsi="Tahoma" w:cs="Tahoma"/>
      <w:sz w:val="16"/>
      <w:szCs w:val="16"/>
    </w:rPr>
  </w:style>
  <w:style w:type="character" w:customStyle="1" w:styleId="TextodegloboCar">
    <w:name w:val="Texto de globo Car"/>
    <w:basedOn w:val="Fuentedeprrafopredeter"/>
    <w:link w:val="Textodeglobo"/>
    <w:uiPriority w:val="99"/>
    <w:semiHidden/>
    <w:rsid w:val="008E4560"/>
    <w:rPr>
      <w:rFonts w:ascii="Tahoma" w:eastAsia="Tw Cen MT" w:hAnsi="Tahoma" w:cs="Tahoma"/>
      <w:sz w:val="16"/>
      <w:szCs w:val="16"/>
      <w:lang w:val="en-US"/>
    </w:rPr>
  </w:style>
  <w:style w:type="paragraph" w:styleId="Encabezado">
    <w:name w:val="header"/>
    <w:basedOn w:val="Normal"/>
    <w:link w:val="EncabezadoCar"/>
    <w:uiPriority w:val="99"/>
    <w:unhideWhenUsed/>
    <w:rsid w:val="00CB7905"/>
    <w:pPr>
      <w:tabs>
        <w:tab w:val="center" w:pos="4513"/>
        <w:tab w:val="right" w:pos="9026"/>
      </w:tabs>
    </w:pPr>
  </w:style>
  <w:style w:type="character" w:customStyle="1" w:styleId="EncabezadoCar">
    <w:name w:val="Encabezado Car"/>
    <w:basedOn w:val="Fuentedeprrafopredeter"/>
    <w:link w:val="Encabezado"/>
    <w:uiPriority w:val="99"/>
    <w:rsid w:val="00CB7905"/>
    <w:rPr>
      <w:rFonts w:ascii="Tw Cen MT" w:eastAsia="Tw Cen MT" w:hAnsi="Tw Cen MT" w:cs="Tw Cen MT"/>
      <w:lang w:val="en-US"/>
    </w:rPr>
  </w:style>
  <w:style w:type="paragraph" w:styleId="Piedepgina">
    <w:name w:val="footer"/>
    <w:basedOn w:val="Normal"/>
    <w:link w:val="PiedepginaCar"/>
    <w:uiPriority w:val="99"/>
    <w:unhideWhenUsed/>
    <w:rsid w:val="00CB7905"/>
    <w:pPr>
      <w:tabs>
        <w:tab w:val="center" w:pos="4513"/>
        <w:tab w:val="right" w:pos="9026"/>
      </w:tabs>
    </w:pPr>
  </w:style>
  <w:style w:type="character" w:customStyle="1" w:styleId="PiedepginaCar">
    <w:name w:val="Pie de página Car"/>
    <w:basedOn w:val="Fuentedeprrafopredeter"/>
    <w:link w:val="Piedepgina"/>
    <w:uiPriority w:val="99"/>
    <w:rsid w:val="00CB7905"/>
    <w:rPr>
      <w:rFonts w:ascii="Tw Cen MT" w:eastAsia="Tw Cen MT" w:hAnsi="Tw Cen MT" w:cs="Tw Cen MT"/>
      <w:lang w:val="en-US"/>
    </w:rPr>
  </w:style>
  <w:style w:type="paragraph" w:styleId="NormalWeb">
    <w:name w:val="Normal (Web)"/>
    <w:basedOn w:val="Normal"/>
    <w:uiPriority w:val="99"/>
    <w:unhideWhenUsed/>
    <w:rsid w:val="006C02D6"/>
    <w:pPr>
      <w:widowControl/>
      <w:spacing w:before="100" w:beforeAutospacing="1" w:after="100" w:afterAutospacing="1" w:line="276" w:lineRule="auto"/>
    </w:pPr>
    <w:rPr>
      <w:rFonts w:asciiTheme="majorHAnsi" w:eastAsiaTheme="majorEastAsia" w:hAnsiTheme="majorHAnsi" w:cstheme="majorBidi"/>
      <w:lang w:val="es-MX" w:eastAsia="es-MX"/>
    </w:rPr>
  </w:style>
  <w:style w:type="character" w:styleId="Mencinsinresolver">
    <w:name w:val="Unresolved Mention"/>
    <w:basedOn w:val="Fuentedeprrafopredeter"/>
    <w:uiPriority w:val="99"/>
    <w:semiHidden/>
    <w:unhideWhenUsed/>
    <w:rsid w:val="00DC4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biola.mall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16/j.jff.2009.01.002"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516</Words>
  <Characters>2841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Fabiola Mallon Mercado</cp:lastModifiedBy>
  <cp:revision>4</cp:revision>
  <dcterms:created xsi:type="dcterms:W3CDTF">2020-02-17T20:58:00Z</dcterms:created>
  <dcterms:modified xsi:type="dcterms:W3CDTF">2020-02-17T21:38:00Z</dcterms:modified>
</cp:coreProperties>
</file>