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776" w:rsidRPr="003D5527" w:rsidRDefault="008E5639" w:rsidP="00533355">
      <w:pPr>
        <w:spacing w:after="0" w:line="360" w:lineRule="auto"/>
        <w:jc w:val="center"/>
        <w:rPr>
          <w:rFonts w:ascii="Tw Cen MT" w:hAnsi="Tw Cen MT" w:cs="Times New Roman"/>
          <w:b/>
          <w:sz w:val="24"/>
          <w:szCs w:val="24"/>
        </w:rPr>
      </w:pPr>
      <w:r w:rsidRPr="003D5527">
        <w:rPr>
          <w:rFonts w:ascii="Tw Cen MT" w:hAnsi="Tw Cen MT" w:cs="Times New Roman"/>
          <w:b/>
          <w:sz w:val="24"/>
          <w:szCs w:val="24"/>
        </w:rPr>
        <w:t>Effect of Different Processing T</w:t>
      </w:r>
      <w:r w:rsidR="00533355">
        <w:rPr>
          <w:rFonts w:ascii="Tw Cen MT" w:hAnsi="Tw Cen MT" w:cs="Times New Roman"/>
          <w:b/>
          <w:sz w:val="24"/>
          <w:szCs w:val="24"/>
        </w:rPr>
        <w:t>emperatures and T</w:t>
      </w:r>
      <w:r w:rsidRPr="003D5527">
        <w:rPr>
          <w:rFonts w:ascii="Tw Cen MT" w:hAnsi="Tw Cen MT" w:cs="Times New Roman"/>
          <w:b/>
          <w:sz w:val="24"/>
          <w:szCs w:val="24"/>
        </w:rPr>
        <w:t>imes on Safeguarding the Nutritional Quality of Fish Meal Analogue in Clarias gariepinus (African Catfish)</w:t>
      </w:r>
    </w:p>
    <w:p w:rsidR="008E5639" w:rsidRPr="003D5527" w:rsidRDefault="008E5639" w:rsidP="00977E58">
      <w:pPr>
        <w:spacing w:after="0"/>
        <w:jc w:val="center"/>
        <w:rPr>
          <w:rFonts w:ascii="Tw Cen MT" w:hAnsi="Tw Cen MT" w:cs="Times New Roman"/>
          <w:sz w:val="20"/>
          <w:szCs w:val="20"/>
        </w:rPr>
      </w:pPr>
      <w:r w:rsidRPr="003D5527">
        <w:rPr>
          <w:rFonts w:ascii="Tw Cen MT" w:hAnsi="Tw Cen MT" w:cs="Times New Roman"/>
          <w:sz w:val="20"/>
          <w:szCs w:val="20"/>
          <w:vertAlign w:val="superscript"/>
        </w:rPr>
        <w:t>1</w:t>
      </w:r>
      <w:r w:rsidRPr="003D5527">
        <w:rPr>
          <w:rFonts w:ascii="Tw Cen MT" w:hAnsi="Tw Cen MT" w:cs="Times New Roman"/>
          <w:sz w:val="20"/>
          <w:szCs w:val="20"/>
        </w:rPr>
        <w:t xml:space="preserve">Abel, F. A. Silas; Oluwole, O. B; Anuoluwatelemi, J.O., Sarumi, B. B </w:t>
      </w:r>
      <w:r w:rsidR="00E06C00">
        <w:rPr>
          <w:rFonts w:ascii="Tw Cen MT" w:hAnsi="Tw Cen MT" w:cs="Times New Roman"/>
          <w:sz w:val="20"/>
          <w:szCs w:val="20"/>
        </w:rPr>
        <w:t xml:space="preserve">and </w:t>
      </w:r>
      <w:r w:rsidRPr="003D5527">
        <w:rPr>
          <w:rFonts w:ascii="Tw Cen MT" w:hAnsi="Tw Cen MT" w:cs="Times New Roman"/>
          <w:sz w:val="20"/>
          <w:szCs w:val="20"/>
        </w:rPr>
        <w:t>Elemo, G. N</w:t>
      </w:r>
    </w:p>
    <w:p w:rsidR="00B671F6" w:rsidRPr="00003CC4" w:rsidRDefault="008E5639" w:rsidP="00003CC4">
      <w:pPr>
        <w:jc w:val="center"/>
        <w:rPr>
          <w:rFonts w:ascii="Tw Cen MT" w:hAnsi="Tw Cen MT" w:cs="Times New Roman"/>
          <w:sz w:val="20"/>
          <w:szCs w:val="20"/>
        </w:rPr>
        <w:sectPr w:rsidR="00B671F6" w:rsidRPr="00003CC4" w:rsidSect="003B0776">
          <w:pgSz w:w="12240" w:h="15840"/>
          <w:pgMar w:top="1440" w:right="1440" w:bottom="1440" w:left="1440" w:header="720" w:footer="720" w:gutter="0"/>
          <w:cols w:space="720"/>
          <w:docGrid w:linePitch="360"/>
        </w:sectPr>
      </w:pPr>
      <w:r w:rsidRPr="003D5527">
        <w:rPr>
          <w:rFonts w:ascii="Tw Cen MT" w:hAnsi="Tw Cen MT" w:cs="Times New Roman"/>
          <w:sz w:val="20"/>
          <w:szCs w:val="20"/>
        </w:rPr>
        <w:t>Corresponding Author</w:t>
      </w:r>
      <w:r w:rsidR="00E702A2">
        <w:rPr>
          <w:rFonts w:ascii="Tw Cen MT" w:hAnsi="Tw Cen MT" w:cs="Times New Roman"/>
          <w:sz w:val="20"/>
          <w:szCs w:val="20"/>
        </w:rPr>
        <w:t xml:space="preserve"> E-Mail</w:t>
      </w:r>
      <w:r w:rsidRPr="003D5527">
        <w:rPr>
          <w:rFonts w:ascii="Tw Cen MT" w:hAnsi="Tw Cen MT" w:cs="Times New Roman"/>
          <w:sz w:val="20"/>
          <w:szCs w:val="20"/>
        </w:rPr>
        <w:t xml:space="preserve">: </w:t>
      </w:r>
      <w:hyperlink r:id="rId5" w:history="1">
        <w:r w:rsidR="002F23AF" w:rsidRPr="0003364C">
          <w:rPr>
            <w:rStyle w:val="Hyperlink"/>
            <w:rFonts w:ascii="Tw Cen MT" w:hAnsi="Tw Cen MT" w:cs="Times New Roman"/>
            <w:sz w:val="20"/>
            <w:szCs w:val="20"/>
          </w:rPr>
          <w:t>silasabel@ymail.com</w:t>
        </w:r>
      </w:hyperlink>
    </w:p>
    <w:p w:rsidR="008E5639" w:rsidRPr="003D5527" w:rsidRDefault="008E5639" w:rsidP="008E5639">
      <w:pPr>
        <w:spacing w:after="0"/>
        <w:jc w:val="both"/>
        <w:rPr>
          <w:rFonts w:ascii="Tw Cen MT" w:hAnsi="Tw Cen MT" w:cs="Times New Roman"/>
          <w:b/>
          <w:sz w:val="24"/>
          <w:szCs w:val="24"/>
        </w:rPr>
      </w:pPr>
      <w:r w:rsidRPr="003D5527">
        <w:rPr>
          <w:rFonts w:ascii="Tw Cen MT" w:hAnsi="Tw Cen MT" w:cs="Times New Roman"/>
          <w:b/>
          <w:sz w:val="24"/>
          <w:szCs w:val="24"/>
        </w:rPr>
        <w:lastRenderedPageBreak/>
        <w:t>Abstract</w:t>
      </w:r>
    </w:p>
    <w:p w:rsidR="00B24B0F" w:rsidRPr="003D5527" w:rsidRDefault="008E5639" w:rsidP="00B24B0F">
      <w:pPr>
        <w:spacing w:after="0"/>
        <w:jc w:val="both"/>
        <w:rPr>
          <w:rFonts w:ascii="Tw Cen MT" w:hAnsi="Tw Cen MT" w:cs="Times New Roman"/>
          <w:sz w:val="20"/>
          <w:szCs w:val="20"/>
        </w:rPr>
      </w:pPr>
      <w:r w:rsidRPr="003D5527">
        <w:rPr>
          <w:rFonts w:ascii="Tw Cen MT" w:hAnsi="Tw Cen MT" w:cs="Times New Roman"/>
          <w:sz w:val="20"/>
          <w:szCs w:val="20"/>
        </w:rPr>
        <w:t>Statement of Problem: Protein nutrient insecurity in the Sub-Saharan Africa is on the increase with an increase in population trend leading to high state of malnutrition in children and adult. This had led to reduced labour force, low agricultural production and increased morbidity and mortality amongst the populace.</w:t>
      </w:r>
      <w:r w:rsidR="0090769F" w:rsidRPr="003D5527">
        <w:rPr>
          <w:rFonts w:ascii="Tw Cen MT" w:hAnsi="Tw Cen MT" w:cs="Times New Roman"/>
          <w:sz w:val="20"/>
          <w:szCs w:val="20"/>
        </w:rPr>
        <w:t xml:space="preserve"> Also, the problem of importation of fish meal which is not easily accessible to the farmers had led to downward negative growth of the aquaculture industry in Africa. The purpose of this study therefore is to sensitize the government, researchers, </w:t>
      </w:r>
      <w:proofErr w:type="gramStart"/>
      <w:r w:rsidR="0090769F" w:rsidRPr="003D5527">
        <w:rPr>
          <w:rFonts w:ascii="Tw Cen MT" w:hAnsi="Tw Cen MT" w:cs="Times New Roman"/>
          <w:sz w:val="20"/>
          <w:szCs w:val="20"/>
        </w:rPr>
        <w:t>farmers</w:t>
      </w:r>
      <w:proofErr w:type="gramEnd"/>
      <w:r w:rsidR="0090769F" w:rsidRPr="003D5527">
        <w:rPr>
          <w:rFonts w:ascii="Tw Cen MT" w:hAnsi="Tw Cen MT" w:cs="Times New Roman"/>
          <w:sz w:val="20"/>
          <w:szCs w:val="20"/>
        </w:rPr>
        <w:t>, feed millers etc on the need to embrace insect protein consumption through the cultivation, harvesting and processing of maggot meal (MM): a fish meal alternative source-analogue</w:t>
      </w:r>
      <w:r w:rsidR="009C2034" w:rsidRPr="003D5527">
        <w:rPr>
          <w:rFonts w:ascii="Tw Cen MT" w:hAnsi="Tw Cen MT" w:cs="Times New Roman"/>
          <w:sz w:val="20"/>
          <w:szCs w:val="20"/>
        </w:rPr>
        <w:t xml:space="preserve"> from </w:t>
      </w:r>
      <w:r w:rsidR="009C2034" w:rsidRPr="003D5527">
        <w:rPr>
          <w:rFonts w:ascii="Tw Cen MT" w:hAnsi="Tw Cen MT" w:cs="Times New Roman"/>
          <w:i/>
          <w:sz w:val="20"/>
          <w:szCs w:val="20"/>
        </w:rPr>
        <w:t>Musca</w:t>
      </w:r>
      <w:r w:rsidR="009C2034" w:rsidRPr="003D5527">
        <w:rPr>
          <w:rFonts w:ascii="Tw Cen MT" w:hAnsi="Tw Cen MT" w:cs="Times New Roman"/>
          <w:sz w:val="20"/>
          <w:szCs w:val="20"/>
        </w:rPr>
        <w:t xml:space="preserve"> </w:t>
      </w:r>
      <w:r w:rsidR="009C2034" w:rsidRPr="003D5527">
        <w:rPr>
          <w:rFonts w:ascii="Tw Cen MT" w:hAnsi="Tw Cen MT" w:cs="Times New Roman"/>
          <w:i/>
          <w:sz w:val="20"/>
          <w:szCs w:val="20"/>
        </w:rPr>
        <w:t>domestica</w:t>
      </w:r>
      <w:r w:rsidR="009C2034" w:rsidRPr="003D5527">
        <w:rPr>
          <w:rFonts w:ascii="Tw Cen MT" w:hAnsi="Tw Cen MT" w:cs="Times New Roman"/>
          <w:sz w:val="20"/>
          <w:szCs w:val="20"/>
        </w:rPr>
        <w:t xml:space="preserve"> (Housefly)</w:t>
      </w:r>
      <w:r w:rsidR="0090769F" w:rsidRPr="003D5527">
        <w:rPr>
          <w:rFonts w:ascii="Tw Cen MT" w:hAnsi="Tw Cen MT" w:cs="Times New Roman"/>
          <w:sz w:val="20"/>
          <w:szCs w:val="20"/>
        </w:rPr>
        <w:t>.</w:t>
      </w:r>
      <w:r w:rsidR="00C82ECF" w:rsidRPr="003D5527">
        <w:rPr>
          <w:rFonts w:ascii="Tw Cen MT" w:hAnsi="Tw Cen MT" w:cs="Times New Roman"/>
          <w:sz w:val="20"/>
          <w:szCs w:val="20"/>
        </w:rPr>
        <w:t xml:space="preserve"> Methodology</w:t>
      </w:r>
      <w:r w:rsidR="009C2034" w:rsidRPr="003D5527">
        <w:rPr>
          <w:rFonts w:ascii="Tw Cen MT" w:hAnsi="Tw Cen MT" w:cs="Times New Roman"/>
          <w:sz w:val="20"/>
          <w:szCs w:val="20"/>
        </w:rPr>
        <w:t xml:space="preserve"> and </w:t>
      </w:r>
      <w:r w:rsidR="00597F29" w:rsidRPr="003D5527">
        <w:rPr>
          <w:rFonts w:ascii="Tw Cen MT" w:hAnsi="Tw Cen MT" w:cs="Times New Roman"/>
          <w:sz w:val="20"/>
          <w:szCs w:val="20"/>
        </w:rPr>
        <w:t>Processing Orientation</w:t>
      </w:r>
      <w:r w:rsidR="00C82ECF" w:rsidRPr="003D5527">
        <w:rPr>
          <w:rFonts w:ascii="Tw Cen MT" w:hAnsi="Tw Cen MT" w:cs="Times New Roman"/>
          <w:sz w:val="20"/>
          <w:szCs w:val="20"/>
        </w:rPr>
        <w:t xml:space="preserve"> involved using </w:t>
      </w:r>
      <w:r w:rsidR="009C2034" w:rsidRPr="003D5527">
        <w:rPr>
          <w:rFonts w:ascii="Tw Cen MT" w:hAnsi="Tw Cen MT" w:cs="Times New Roman"/>
          <w:sz w:val="20"/>
          <w:szCs w:val="20"/>
        </w:rPr>
        <w:t>wheat</w:t>
      </w:r>
      <w:r w:rsidR="00C82ECF" w:rsidRPr="003D5527">
        <w:rPr>
          <w:rFonts w:ascii="Tw Cen MT" w:hAnsi="Tw Cen MT" w:cs="Times New Roman"/>
          <w:sz w:val="20"/>
          <w:szCs w:val="20"/>
        </w:rPr>
        <w:t xml:space="preserve"> offal </w:t>
      </w:r>
      <w:r w:rsidR="009C2034" w:rsidRPr="003D5527">
        <w:rPr>
          <w:rFonts w:ascii="Tw Cen MT" w:hAnsi="Tw Cen MT" w:cs="Times New Roman"/>
          <w:sz w:val="20"/>
          <w:szCs w:val="20"/>
        </w:rPr>
        <w:t xml:space="preserve">as a </w:t>
      </w:r>
      <w:r w:rsidR="00C82ECF" w:rsidRPr="003D5527">
        <w:rPr>
          <w:rFonts w:ascii="Tw Cen MT" w:hAnsi="Tw Cen MT" w:cs="Times New Roman"/>
          <w:sz w:val="20"/>
          <w:szCs w:val="20"/>
        </w:rPr>
        <w:t>substrate in a wooden maggotry</w:t>
      </w:r>
      <w:r w:rsidR="009C2034" w:rsidRPr="003D5527">
        <w:rPr>
          <w:rFonts w:ascii="Tw Cen MT" w:hAnsi="Tw Cen MT" w:cs="Times New Roman"/>
          <w:sz w:val="20"/>
          <w:szCs w:val="20"/>
        </w:rPr>
        <w:t xml:space="preserve">. </w:t>
      </w:r>
      <w:r w:rsidR="00597F29" w:rsidRPr="003D5527">
        <w:rPr>
          <w:rFonts w:ascii="Tw Cen MT" w:hAnsi="Tw Cen MT" w:cs="Times New Roman"/>
          <w:sz w:val="20"/>
          <w:szCs w:val="20"/>
        </w:rPr>
        <w:t>After harvesting the larvae of housefly on the 7</w:t>
      </w:r>
      <w:r w:rsidR="00597F29" w:rsidRPr="003D5527">
        <w:rPr>
          <w:rFonts w:ascii="Tw Cen MT" w:hAnsi="Tw Cen MT" w:cs="Times New Roman"/>
          <w:sz w:val="20"/>
          <w:szCs w:val="20"/>
          <w:vertAlign w:val="superscript"/>
        </w:rPr>
        <w:t>th</w:t>
      </w:r>
      <w:r w:rsidR="00597F29" w:rsidRPr="003D5527">
        <w:rPr>
          <w:rFonts w:ascii="Tw Cen MT" w:hAnsi="Tw Cen MT" w:cs="Times New Roman"/>
          <w:sz w:val="20"/>
          <w:szCs w:val="20"/>
        </w:rPr>
        <w:t xml:space="preserve"> day, they were air-dried and later processed in an electric halogen oven</w:t>
      </w:r>
      <w:r w:rsidR="00597F29" w:rsidRPr="003D5527">
        <w:rPr>
          <w:rFonts w:ascii="Tw Cen MT" w:hAnsi="Tw Cen MT" w:cs="Times New Roman"/>
          <w:sz w:val="20"/>
          <w:szCs w:val="20"/>
          <w:vertAlign w:val="superscript"/>
        </w:rPr>
        <w:t>®</w:t>
      </w:r>
      <w:r w:rsidR="00597F29" w:rsidRPr="003D5527">
        <w:rPr>
          <w:rFonts w:ascii="Tw Cen MT" w:hAnsi="Tw Cen MT" w:cs="Times New Roman"/>
          <w:sz w:val="20"/>
          <w:szCs w:val="20"/>
        </w:rPr>
        <w:t xml:space="preserve"> at different temperatures and time (65</w:t>
      </w:r>
      <w:r w:rsidR="00597F29" w:rsidRPr="003D5527">
        <w:rPr>
          <w:rFonts w:ascii="Tw Cen MT" w:hAnsi="Tw Cen MT" w:cs="Times New Roman"/>
          <w:sz w:val="20"/>
          <w:szCs w:val="20"/>
          <w:vertAlign w:val="superscript"/>
        </w:rPr>
        <w:t>0</w:t>
      </w:r>
      <w:r w:rsidR="00597F29" w:rsidRPr="003D5527">
        <w:rPr>
          <w:rFonts w:ascii="Tw Cen MT" w:hAnsi="Tw Cen MT" w:cs="Times New Roman"/>
          <w:sz w:val="20"/>
          <w:szCs w:val="20"/>
        </w:rPr>
        <w:t>C at 30 mins; 85</w:t>
      </w:r>
      <w:r w:rsidR="00597F29" w:rsidRPr="003D5527">
        <w:rPr>
          <w:rFonts w:ascii="Tw Cen MT" w:hAnsi="Tw Cen MT" w:cs="Times New Roman"/>
          <w:sz w:val="20"/>
          <w:szCs w:val="20"/>
          <w:vertAlign w:val="superscript"/>
        </w:rPr>
        <w:t>0</w:t>
      </w:r>
      <w:r w:rsidR="00597F29" w:rsidRPr="003D5527">
        <w:rPr>
          <w:rFonts w:ascii="Tw Cen MT" w:hAnsi="Tw Cen MT" w:cs="Times New Roman"/>
          <w:sz w:val="20"/>
          <w:szCs w:val="20"/>
        </w:rPr>
        <w:t>C at 30 mins and 120</w:t>
      </w:r>
      <w:r w:rsidR="00597F29" w:rsidRPr="003D5527">
        <w:rPr>
          <w:rFonts w:ascii="Tw Cen MT" w:hAnsi="Tw Cen MT" w:cs="Times New Roman"/>
          <w:sz w:val="20"/>
          <w:szCs w:val="20"/>
          <w:vertAlign w:val="superscript"/>
        </w:rPr>
        <w:t>0</w:t>
      </w:r>
      <w:r w:rsidR="00597F29" w:rsidRPr="003D5527">
        <w:rPr>
          <w:rFonts w:ascii="Tw Cen MT" w:hAnsi="Tw Cen MT" w:cs="Times New Roman"/>
          <w:sz w:val="20"/>
          <w:szCs w:val="20"/>
        </w:rPr>
        <w:t>C at 30mins).</w:t>
      </w:r>
      <w:r w:rsidR="00C754EC" w:rsidRPr="003D5527">
        <w:rPr>
          <w:rFonts w:ascii="Tw Cen MT" w:hAnsi="Tw Cen MT" w:cs="Times New Roman"/>
          <w:sz w:val="20"/>
          <w:szCs w:val="20"/>
        </w:rPr>
        <w:t xml:space="preserve"> The three treatment feed ingredients were cooled after drying, milled into powdery form and stored for use in feeding the African catfish.</w:t>
      </w:r>
      <w:r w:rsidR="00072581" w:rsidRPr="003D5527">
        <w:rPr>
          <w:rFonts w:ascii="Tw Cen MT" w:hAnsi="Tw Cen MT" w:cs="Times New Roman"/>
          <w:sz w:val="20"/>
          <w:szCs w:val="20"/>
        </w:rPr>
        <w:t xml:space="preserve"> </w:t>
      </w:r>
      <w:r w:rsidR="00B24B0F" w:rsidRPr="003D5527">
        <w:rPr>
          <w:rFonts w:ascii="Tw Cen MT" w:hAnsi="Tw Cen MT" w:cs="Times New Roman"/>
          <w:sz w:val="20"/>
          <w:szCs w:val="20"/>
        </w:rPr>
        <w:t>Finding and Conclusion: After analysis and 6weeks feeding trials showed that the crude protein content of 85</w:t>
      </w:r>
      <w:r w:rsidR="00B24B0F" w:rsidRPr="003D5527">
        <w:rPr>
          <w:rFonts w:ascii="Tw Cen MT" w:hAnsi="Tw Cen MT" w:cs="Times New Roman"/>
          <w:sz w:val="20"/>
          <w:szCs w:val="20"/>
          <w:vertAlign w:val="superscript"/>
        </w:rPr>
        <w:t>0</w:t>
      </w:r>
      <w:r w:rsidR="00B24B0F" w:rsidRPr="003D5527">
        <w:rPr>
          <w:rFonts w:ascii="Tw Cen MT" w:hAnsi="Tw Cen MT" w:cs="Times New Roman"/>
          <w:sz w:val="20"/>
          <w:szCs w:val="20"/>
        </w:rPr>
        <w:t>C at 30 mins treated group was significantly highest of the three groups at 58.43&gt;52.55&gt;49.81% (in 85</w:t>
      </w:r>
      <w:r w:rsidR="00B24B0F" w:rsidRPr="003D5527">
        <w:rPr>
          <w:rFonts w:ascii="Tw Cen MT" w:hAnsi="Tw Cen MT" w:cs="Times New Roman"/>
          <w:sz w:val="20"/>
          <w:szCs w:val="20"/>
          <w:vertAlign w:val="superscript"/>
        </w:rPr>
        <w:t>0</w:t>
      </w:r>
      <w:r w:rsidR="00B24B0F" w:rsidRPr="003D5527">
        <w:rPr>
          <w:rFonts w:ascii="Tw Cen MT" w:hAnsi="Tw Cen MT" w:cs="Times New Roman"/>
          <w:sz w:val="20"/>
          <w:szCs w:val="20"/>
        </w:rPr>
        <w:t>C; 65</w:t>
      </w:r>
      <w:r w:rsidR="00B24B0F" w:rsidRPr="003D5527">
        <w:rPr>
          <w:rFonts w:ascii="Tw Cen MT" w:hAnsi="Tw Cen MT" w:cs="Times New Roman"/>
          <w:sz w:val="20"/>
          <w:szCs w:val="20"/>
          <w:vertAlign w:val="superscript"/>
        </w:rPr>
        <w:t>0</w:t>
      </w:r>
      <w:r w:rsidR="00B24B0F" w:rsidRPr="003D5527">
        <w:rPr>
          <w:rFonts w:ascii="Tw Cen MT" w:hAnsi="Tw Cen MT" w:cs="Times New Roman"/>
          <w:sz w:val="20"/>
          <w:szCs w:val="20"/>
        </w:rPr>
        <w:t>C and 120</w:t>
      </w:r>
      <w:r w:rsidR="00B24B0F" w:rsidRPr="003D5527">
        <w:rPr>
          <w:rFonts w:ascii="Tw Cen MT" w:hAnsi="Tw Cen MT" w:cs="Times New Roman"/>
          <w:sz w:val="20"/>
          <w:szCs w:val="20"/>
          <w:vertAlign w:val="superscript"/>
        </w:rPr>
        <w:t>0</w:t>
      </w:r>
      <w:r w:rsidR="00B24B0F" w:rsidRPr="003D5527">
        <w:rPr>
          <w:rFonts w:ascii="Tw Cen MT" w:hAnsi="Tw Cen MT" w:cs="Times New Roman"/>
          <w:sz w:val="20"/>
          <w:szCs w:val="20"/>
        </w:rPr>
        <w:t xml:space="preserve">C) respectively. Overheating can denature the protein content in the fish meal analogue as seen in the feeding trial growth performance and feed conversion ratio. </w:t>
      </w:r>
    </w:p>
    <w:p w:rsidR="00B671F6" w:rsidRPr="003D5527" w:rsidRDefault="00B671F6" w:rsidP="00B42833">
      <w:pPr>
        <w:spacing w:after="0"/>
        <w:jc w:val="both"/>
        <w:rPr>
          <w:rFonts w:ascii="Tw Cen MT" w:hAnsi="Tw Cen MT" w:cs="Times New Roman"/>
          <w:sz w:val="20"/>
          <w:szCs w:val="20"/>
        </w:rPr>
      </w:pPr>
    </w:p>
    <w:p w:rsidR="00B671F6" w:rsidRPr="003D5527" w:rsidRDefault="00ED58D0" w:rsidP="008E5639">
      <w:pPr>
        <w:jc w:val="both"/>
        <w:rPr>
          <w:rFonts w:ascii="Tw Cen MT" w:hAnsi="Tw Cen MT" w:cs="Times New Roman"/>
          <w:sz w:val="24"/>
          <w:szCs w:val="24"/>
        </w:rPr>
      </w:pPr>
      <w:r w:rsidRPr="003D5527">
        <w:rPr>
          <w:rFonts w:ascii="Tw Cen MT" w:hAnsi="Tw Cen MT" w:cs="Times New Roman"/>
          <w:noProof/>
          <w:sz w:val="24"/>
          <w:szCs w:val="24"/>
        </w:rPr>
        <w:drawing>
          <wp:inline distT="0" distB="0" distL="0" distR="0">
            <wp:extent cx="615074" cy="514350"/>
            <wp:effectExtent l="19050" t="0" r="0" b="0"/>
            <wp:docPr id="1" name="Picture 1" descr="C:\Users\salis\AppData\Local\Microsoft\Windows\Temporary Internet Files\Content.Word\IMG-20171117-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is\AppData\Local\Microsoft\Windows\Temporary Internet Files\Content.Word\IMG-20171117-WA0003.jpg"/>
                    <pic:cNvPicPr>
                      <a:picLocks noChangeAspect="1" noChangeArrowheads="1"/>
                    </pic:cNvPicPr>
                  </pic:nvPicPr>
                  <pic:blipFill>
                    <a:blip r:embed="rId6" cstate="print"/>
                    <a:srcRect/>
                    <a:stretch>
                      <a:fillRect/>
                    </a:stretch>
                  </pic:blipFill>
                  <pic:spPr bwMode="auto">
                    <a:xfrm>
                      <a:off x="0" y="0"/>
                      <a:ext cx="618916" cy="517563"/>
                    </a:xfrm>
                    <a:prstGeom prst="rect">
                      <a:avLst/>
                    </a:prstGeom>
                    <a:noFill/>
                    <a:ln w="9525">
                      <a:noFill/>
                      <a:miter lim="800000"/>
                      <a:headEnd/>
                      <a:tailEnd/>
                    </a:ln>
                  </pic:spPr>
                </pic:pic>
              </a:graphicData>
            </a:graphic>
          </wp:inline>
        </w:drawing>
      </w:r>
      <w:r w:rsidRPr="003D5527">
        <w:rPr>
          <w:rFonts w:ascii="Tw Cen MT" w:hAnsi="Tw Cen MT" w:cs="Times New Roman"/>
          <w:sz w:val="24"/>
          <w:szCs w:val="24"/>
        </w:rPr>
        <w:t xml:space="preserve"> </w:t>
      </w:r>
      <w:r w:rsidRPr="003D5527">
        <w:rPr>
          <w:rFonts w:ascii="Tw Cen MT" w:hAnsi="Tw Cen MT" w:cs="Times New Roman"/>
          <w:sz w:val="20"/>
          <w:szCs w:val="20"/>
        </w:rPr>
        <w:t>Dr</w:t>
      </w:r>
      <w:r w:rsidR="003D5527">
        <w:rPr>
          <w:rFonts w:ascii="Tw Cen MT" w:hAnsi="Tw Cen MT" w:cs="Times New Roman"/>
          <w:sz w:val="20"/>
          <w:szCs w:val="20"/>
        </w:rPr>
        <w:t>.</w:t>
      </w:r>
      <w:r w:rsidRPr="003D5527">
        <w:rPr>
          <w:rFonts w:ascii="Tw Cen MT" w:hAnsi="Tw Cen MT" w:cs="Times New Roman"/>
          <w:sz w:val="20"/>
          <w:szCs w:val="20"/>
        </w:rPr>
        <w:t xml:space="preserve"> Silas Abel</w:t>
      </w:r>
      <w:r w:rsidR="00B42833" w:rsidRPr="003D5527">
        <w:rPr>
          <w:rFonts w:ascii="Tw Cen MT" w:hAnsi="Tw Cen MT" w:cs="Times New Roman"/>
          <w:sz w:val="20"/>
          <w:szCs w:val="20"/>
        </w:rPr>
        <w:t xml:space="preserve"> (Ph.D)</w:t>
      </w:r>
      <w:r w:rsidRPr="003D5527">
        <w:rPr>
          <w:rFonts w:ascii="Tw Cen MT" w:hAnsi="Tw Cen MT" w:cs="Times New Roman"/>
          <w:sz w:val="20"/>
          <w:szCs w:val="20"/>
        </w:rPr>
        <w:t xml:space="preserve"> is a </w:t>
      </w:r>
      <w:r w:rsidR="00B42833" w:rsidRPr="003D5527">
        <w:rPr>
          <w:rFonts w:ascii="Tw Cen MT" w:hAnsi="Tw Cen MT" w:cs="Times New Roman"/>
          <w:sz w:val="20"/>
          <w:szCs w:val="20"/>
        </w:rPr>
        <w:t>food quality</w:t>
      </w:r>
      <w:r w:rsidRPr="003D5527">
        <w:rPr>
          <w:rFonts w:ascii="Tw Cen MT" w:hAnsi="Tw Cen MT" w:cs="Times New Roman"/>
          <w:sz w:val="20"/>
          <w:szCs w:val="20"/>
        </w:rPr>
        <w:t xml:space="preserve"> researcher with a passion in quality evaluati</w:t>
      </w:r>
      <w:r w:rsidR="00B42833" w:rsidRPr="003D5527">
        <w:rPr>
          <w:rFonts w:ascii="Tw Cen MT" w:hAnsi="Tw Cen MT" w:cs="Times New Roman"/>
          <w:sz w:val="20"/>
          <w:szCs w:val="20"/>
        </w:rPr>
        <w:t>on processes</w:t>
      </w:r>
      <w:r w:rsidR="00B42833" w:rsidRPr="003D5527">
        <w:rPr>
          <w:rFonts w:ascii="Tw Cen MT" w:hAnsi="Tw Cen MT" w:cs="Times New Roman"/>
          <w:sz w:val="24"/>
          <w:szCs w:val="24"/>
        </w:rPr>
        <w:t>.</w:t>
      </w:r>
      <w:r w:rsidR="00A60EE0">
        <w:rPr>
          <w:rFonts w:ascii="Tw Cen MT" w:hAnsi="Tw Cen MT" w:cs="Times New Roman"/>
          <w:sz w:val="24"/>
          <w:szCs w:val="24"/>
        </w:rPr>
        <w:t xml:space="preserve"> </w:t>
      </w:r>
      <w:r w:rsidR="00A60EE0" w:rsidRPr="00A60EE0">
        <w:rPr>
          <w:rFonts w:ascii="Tw Cen MT" w:hAnsi="Tw Cen MT" w:cs="Times New Roman"/>
          <w:sz w:val="20"/>
          <w:szCs w:val="20"/>
        </w:rPr>
        <w:t>He</w:t>
      </w:r>
      <w:r w:rsidR="00A60EE0">
        <w:rPr>
          <w:rFonts w:ascii="Tw Cen MT" w:hAnsi="Tw Cen MT" w:cs="Times New Roman"/>
          <w:sz w:val="20"/>
          <w:szCs w:val="20"/>
        </w:rPr>
        <w:t xml:space="preserve"> is a known figure in Conferences and </w:t>
      </w:r>
      <w:r w:rsidR="001B5411">
        <w:rPr>
          <w:rFonts w:ascii="Tw Cen MT" w:hAnsi="Tw Cen MT" w:cs="Times New Roman"/>
          <w:sz w:val="20"/>
          <w:szCs w:val="20"/>
        </w:rPr>
        <w:t>S</w:t>
      </w:r>
      <w:r w:rsidR="00A60EE0">
        <w:rPr>
          <w:rFonts w:ascii="Tw Cen MT" w:hAnsi="Tw Cen MT" w:cs="Times New Roman"/>
          <w:sz w:val="20"/>
          <w:szCs w:val="20"/>
        </w:rPr>
        <w:t>eminars.</w:t>
      </w:r>
    </w:p>
    <w:p w:rsidR="00B24B0F" w:rsidRPr="003D5527" w:rsidRDefault="00B24B0F" w:rsidP="00B24B0F">
      <w:pPr>
        <w:spacing w:after="0"/>
        <w:jc w:val="both"/>
        <w:rPr>
          <w:rFonts w:ascii="Tw Cen MT" w:hAnsi="Tw Cen MT" w:cs="Times New Roman"/>
          <w:sz w:val="20"/>
          <w:szCs w:val="20"/>
        </w:rPr>
      </w:pPr>
    </w:p>
    <w:p w:rsidR="00B24B0F" w:rsidRPr="003D5527" w:rsidRDefault="00B24B0F" w:rsidP="00B24B0F">
      <w:pPr>
        <w:spacing w:after="0"/>
        <w:jc w:val="both"/>
        <w:rPr>
          <w:rFonts w:ascii="Tw Cen MT" w:hAnsi="Tw Cen MT" w:cs="Times New Roman"/>
          <w:sz w:val="20"/>
          <w:szCs w:val="20"/>
        </w:rPr>
      </w:pPr>
    </w:p>
    <w:p w:rsidR="00B24B0F" w:rsidRPr="003D5527" w:rsidRDefault="00B24B0F" w:rsidP="00B24B0F">
      <w:pPr>
        <w:spacing w:after="0"/>
        <w:jc w:val="both"/>
        <w:rPr>
          <w:rFonts w:ascii="Tw Cen MT" w:hAnsi="Tw Cen MT" w:cs="Times New Roman"/>
          <w:sz w:val="20"/>
          <w:szCs w:val="20"/>
        </w:rPr>
      </w:pPr>
    </w:p>
    <w:p w:rsidR="00B24B0F" w:rsidRPr="003D5527" w:rsidRDefault="00B24B0F" w:rsidP="00B24B0F">
      <w:pPr>
        <w:spacing w:after="0"/>
        <w:jc w:val="both"/>
        <w:rPr>
          <w:rFonts w:ascii="Tw Cen MT" w:hAnsi="Tw Cen MT" w:cs="Times New Roman"/>
          <w:sz w:val="20"/>
          <w:szCs w:val="20"/>
        </w:rPr>
      </w:pPr>
      <w:r w:rsidRPr="003D5527">
        <w:rPr>
          <w:rFonts w:ascii="Tw Cen MT" w:hAnsi="Tw Cen MT" w:cs="Times New Roman"/>
          <w:sz w:val="20"/>
          <w:szCs w:val="20"/>
        </w:rPr>
        <w:lastRenderedPageBreak/>
        <w:t>It is therefore safe for the nutrient in feed to be intact and not lost or denatured for availability for use in Catfish feeding performance without negatively affecting the fish growth performance and farmers profitability ensured for a profitable and sustainable aquaculture production.</w:t>
      </w:r>
    </w:p>
    <w:p w:rsidR="00ED58D0" w:rsidRPr="003D5527" w:rsidRDefault="00ED58D0" w:rsidP="00225302">
      <w:pPr>
        <w:spacing w:after="0" w:line="240" w:lineRule="auto"/>
        <w:jc w:val="both"/>
        <w:rPr>
          <w:rFonts w:ascii="Tw Cen MT" w:hAnsi="Tw Cen MT" w:cs="Times New Roman"/>
          <w:b/>
          <w:sz w:val="24"/>
          <w:szCs w:val="24"/>
        </w:rPr>
      </w:pPr>
      <w:r w:rsidRPr="003D5527">
        <w:rPr>
          <w:rFonts w:ascii="Tw Cen MT" w:hAnsi="Tw Cen MT" w:cs="Times New Roman"/>
          <w:b/>
          <w:sz w:val="24"/>
          <w:szCs w:val="24"/>
        </w:rPr>
        <w:t>References</w:t>
      </w:r>
    </w:p>
    <w:p w:rsidR="00ED58D0" w:rsidRPr="003D5527" w:rsidRDefault="00225302" w:rsidP="00225302">
      <w:pPr>
        <w:autoSpaceDE w:val="0"/>
        <w:autoSpaceDN w:val="0"/>
        <w:adjustRightInd w:val="0"/>
        <w:spacing w:after="0" w:line="240" w:lineRule="auto"/>
        <w:jc w:val="both"/>
        <w:rPr>
          <w:rFonts w:ascii="Tw Cen MT" w:hAnsi="Tw Cen MT"/>
          <w:sz w:val="24"/>
          <w:szCs w:val="24"/>
        </w:rPr>
      </w:pPr>
      <w:proofErr w:type="gramStart"/>
      <w:r w:rsidRPr="003D5527">
        <w:rPr>
          <w:rFonts w:ascii="Tw Cen MT" w:hAnsi="Tw Cen MT"/>
          <w:color w:val="000000"/>
          <w:sz w:val="20"/>
          <w:szCs w:val="20"/>
        </w:rPr>
        <w:t>1</w:t>
      </w:r>
      <w:r w:rsidRPr="003D5527">
        <w:rPr>
          <w:rFonts w:ascii="Tw Cen MT" w:hAnsi="Tw Cen MT"/>
          <w:color w:val="000000"/>
          <w:sz w:val="24"/>
          <w:szCs w:val="24"/>
        </w:rPr>
        <w:t>.</w:t>
      </w:r>
      <w:r w:rsidRPr="003D5527">
        <w:rPr>
          <w:rFonts w:ascii="Tw Cen MT" w:hAnsi="Tw Cen MT"/>
          <w:color w:val="000000"/>
          <w:sz w:val="20"/>
          <w:szCs w:val="20"/>
        </w:rPr>
        <w:t>Adesina</w:t>
      </w:r>
      <w:proofErr w:type="gramEnd"/>
      <w:r w:rsidRPr="003D5527">
        <w:rPr>
          <w:rFonts w:ascii="Tw Cen MT" w:hAnsi="Tw Cen MT"/>
          <w:color w:val="000000"/>
          <w:sz w:val="20"/>
          <w:szCs w:val="20"/>
        </w:rPr>
        <w:t xml:space="preserve">, A.J, 2012. </w:t>
      </w:r>
      <w:proofErr w:type="gramStart"/>
      <w:r w:rsidRPr="003D5527">
        <w:rPr>
          <w:rFonts w:ascii="Tw Cen MT" w:hAnsi="Tw Cen MT"/>
          <w:sz w:val="20"/>
          <w:szCs w:val="20"/>
        </w:rPr>
        <w:t>Comparability</w:t>
      </w:r>
      <w:r w:rsidR="00B24B0F" w:rsidRPr="003D5527">
        <w:rPr>
          <w:rFonts w:ascii="Tw Cen MT" w:hAnsi="Tw Cen MT"/>
          <w:sz w:val="20"/>
          <w:szCs w:val="20"/>
        </w:rPr>
        <w:t xml:space="preserve"> </w:t>
      </w:r>
      <w:r w:rsidRPr="003D5527">
        <w:rPr>
          <w:rFonts w:ascii="Tw Cen MT" w:hAnsi="Tw Cen MT"/>
          <w:sz w:val="20"/>
          <w:szCs w:val="20"/>
        </w:rPr>
        <w:t>of the proximate and amino acids composition of maggot meal, earthworm meal and soybean meal for use as feedstuffs and feed formulations.</w:t>
      </w:r>
      <w:proofErr w:type="gramEnd"/>
      <w:r w:rsidRPr="003D5527">
        <w:rPr>
          <w:rFonts w:ascii="Tw Cen MT" w:hAnsi="Tw Cen MT"/>
          <w:sz w:val="20"/>
          <w:szCs w:val="20"/>
        </w:rPr>
        <w:t xml:space="preserve"> </w:t>
      </w:r>
      <w:r w:rsidRPr="003D5527">
        <w:rPr>
          <w:rFonts w:ascii="Tw Cen MT" w:hAnsi="Tw Cen MT"/>
          <w:i/>
          <w:sz w:val="20"/>
          <w:szCs w:val="20"/>
        </w:rPr>
        <w:t>Elizir Applied Biology</w:t>
      </w:r>
      <w:r w:rsidRPr="003D5527">
        <w:rPr>
          <w:rFonts w:ascii="Tw Cen MT" w:hAnsi="Tw Cen MT"/>
          <w:sz w:val="20"/>
          <w:szCs w:val="20"/>
        </w:rPr>
        <w:t>, 51: 10693- 10699.</w:t>
      </w:r>
    </w:p>
    <w:p w:rsidR="00225302" w:rsidRPr="003D5527" w:rsidRDefault="00225302" w:rsidP="00225302">
      <w:pPr>
        <w:autoSpaceDE w:val="0"/>
        <w:autoSpaceDN w:val="0"/>
        <w:adjustRightInd w:val="0"/>
        <w:spacing w:after="0" w:line="240" w:lineRule="auto"/>
        <w:ind w:hanging="1440"/>
        <w:rPr>
          <w:rFonts w:ascii="Tw Cen MT" w:hAnsi="Tw Cen MT"/>
          <w:sz w:val="24"/>
          <w:szCs w:val="23"/>
        </w:rPr>
      </w:pPr>
      <w:r w:rsidRPr="003D5527">
        <w:rPr>
          <w:rFonts w:ascii="Tw Cen MT" w:hAnsi="Tw Cen MT"/>
          <w:sz w:val="24"/>
          <w:szCs w:val="24"/>
        </w:rPr>
        <w:t xml:space="preserve">                      </w:t>
      </w:r>
      <w:r w:rsidRPr="003D5527">
        <w:rPr>
          <w:rFonts w:ascii="Tw Cen MT" w:hAnsi="Tw Cen MT"/>
          <w:sz w:val="20"/>
          <w:szCs w:val="20"/>
        </w:rPr>
        <w:t>2</w:t>
      </w:r>
      <w:r w:rsidRPr="003D5527">
        <w:rPr>
          <w:rFonts w:ascii="Tw Cen MT" w:hAnsi="Tw Cen MT"/>
          <w:sz w:val="24"/>
          <w:szCs w:val="24"/>
        </w:rPr>
        <w:t xml:space="preserve">. </w:t>
      </w:r>
      <w:r w:rsidRPr="003D5527">
        <w:rPr>
          <w:rFonts w:ascii="Tw Cen MT" w:hAnsi="Tw Cen MT"/>
          <w:sz w:val="20"/>
          <w:szCs w:val="20"/>
        </w:rPr>
        <w:t>Odinaka, A, 2014. Fish Feed In: Nigeria sets sight on reducing N123bn fish Import Bill. June 24, 2014.</w:t>
      </w:r>
    </w:p>
    <w:p w:rsidR="00225302" w:rsidRPr="003D5527" w:rsidRDefault="00225302" w:rsidP="00225302">
      <w:pPr>
        <w:autoSpaceDE w:val="0"/>
        <w:autoSpaceDN w:val="0"/>
        <w:adjustRightInd w:val="0"/>
        <w:spacing w:after="0" w:line="240" w:lineRule="auto"/>
        <w:ind w:hanging="1440"/>
        <w:jc w:val="both"/>
        <w:rPr>
          <w:rFonts w:ascii="Tw Cen MT" w:hAnsi="Tw Cen MT" w:cs="Times New Roman"/>
          <w:sz w:val="20"/>
          <w:szCs w:val="20"/>
        </w:rPr>
      </w:pPr>
      <w:r w:rsidRPr="003D5527">
        <w:rPr>
          <w:rFonts w:ascii="Tw Cen MT" w:hAnsi="Tw Cen MT"/>
          <w:sz w:val="24"/>
          <w:szCs w:val="23"/>
        </w:rPr>
        <w:t xml:space="preserve">                        </w:t>
      </w:r>
      <w:r w:rsidRPr="003D5527">
        <w:rPr>
          <w:rFonts w:ascii="Tw Cen MT" w:hAnsi="Tw Cen MT"/>
          <w:sz w:val="20"/>
          <w:szCs w:val="20"/>
        </w:rPr>
        <w:t>3</w:t>
      </w:r>
      <w:r w:rsidRPr="003D5527">
        <w:rPr>
          <w:rFonts w:ascii="Tw Cen MT" w:hAnsi="Tw Cen MT"/>
          <w:sz w:val="24"/>
          <w:szCs w:val="23"/>
        </w:rPr>
        <w:t xml:space="preserve">. </w:t>
      </w:r>
      <w:r w:rsidRPr="003D5527">
        <w:rPr>
          <w:rFonts w:ascii="Tw Cen MT" w:hAnsi="Tw Cen MT" w:cs="Times New Roman"/>
          <w:sz w:val="20"/>
          <w:szCs w:val="20"/>
        </w:rPr>
        <w:t xml:space="preserve">Abel, F. A. Silas., I. T. Okporua and O. A. Adeyemi, (2013).  Tetracycline Residues in Pork Sold in Selected Markets in Ogun State. </w:t>
      </w:r>
      <w:r w:rsidRPr="003D5527">
        <w:rPr>
          <w:rFonts w:ascii="Tw Cen MT" w:hAnsi="Tw Cen MT" w:cs="Times New Roman"/>
          <w:i/>
          <w:sz w:val="20"/>
          <w:szCs w:val="20"/>
        </w:rPr>
        <w:t>Proceedings</w:t>
      </w:r>
      <w:r w:rsidRPr="003D5527">
        <w:rPr>
          <w:rFonts w:ascii="Tw Cen MT" w:hAnsi="Tw Cen MT" w:cs="Times New Roman"/>
          <w:sz w:val="20"/>
          <w:szCs w:val="20"/>
        </w:rPr>
        <w:t xml:space="preserve"> of the 37</w:t>
      </w:r>
      <w:r w:rsidRPr="003D5527">
        <w:rPr>
          <w:rFonts w:ascii="Tw Cen MT" w:hAnsi="Tw Cen MT" w:cs="Times New Roman"/>
          <w:sz w:val="20"/>
          <w:szCs w:val="20"/>
          <w:vertAlign w:val="superscript"/>
        </w:rPr>
        <w:t xml:space="preserve">th </w:t>
      </w:r>
      <w:r w:rsidRPr="003D5527">
        <w:rPr>
          <w:rFonts w:ascii="Tw Cen MT" w:hAnsi="Tw Cen MT" w:cs="Times New Roman"/>
          <w:sz w:val="20"/>
          <w:szCs w:val="20"/>
        </w:rPr>
        <w:t>Annual Conference Meeting of Nigerian Institute of Food Science and Technology (NIFST), International Conference Centre, ABUJA 2013. Pg. 112-114.</w:t>
      </w:r>
    </w:p>
    <w:p w:rsidR="00225302" w:rsidRPr="003D5527" w:rsidRDefault="00B24B0F" w:rsidP="00225302">
      <w:pPr>
        <w:spacing w:after="0" w:line="240" w:lineRule="auto"/>
        <w:jc w:val="both"/>
        <w:rPr>
          <w:rFonts w:ascii="Tw Cen MT" w:hAnsi="Tw Cen MT" w:cs="Times New Roman"/>
          <w:noProof/>
          <w:sz w:val="20"/>
          <w:szCs w:val="20"/>
          <w:lang w:val="en-GB"/>
        </w:rPr>
      </w:pPr>
      <w:r w:rsidRPr="003D5527">
        <w:rPr>
          <w:rFonts w:ascii="Tw Cen MT" w:hAnsi="Tw Cen MT" w:cs="Times New Roman"/>
          <w:sz w:val="24"/>
          <w:szCs w:val="24"/>
        </w:rPr>
        <w:t xml:space="preserve"> </w:t>
      </w:r>
      <w:r w:rsidR="00225302" w:rsidRPr="003D5527">
        <w:rPr>
          <w:rFonts w:ascii="Tw Cen MT" w:hAnsi="Tw Cen MT" w:cs="Times New Roman"/>
          <w:sz w:val="20"/>
          <w:szCs w:val="20"/>
        </w:rPr>
        <w:t xml:space="preserve">4. </w:t>
      </w:r>
      <w:r w:rsidR="00225302" w:rsidRPr="003D5527">
        <w:rPr>
          <w:rFonts w:ascii="Tw Cen MT" w:hAnsi="Tw Cen MT" w:cs="Times New Roman"/>
          <w:noProof/>
          <w:sz w:val="20"/>
          <w:szCs w:val="20"/>
          <w:lang w:val="en-GB"/>
        </w:rPr>
        <w:t xml:space="preserve">Abel, F. A. S, Ayo-Ajasa,O. Y., Oluwole, O. B., Onyibe, J., Dike, S. I and Elemo, G. N. (2016).  Evaluation of tetracycline residues in pork organs and tissues sold for human consumption in Lagos and Ogun States of Nigeria. </w:t>
      </w:r>
      <w:r w:rsidR="00225302" w:rsidRPr="003D5527">
        <w:rPr>
          <w:rFonts w:ascii="Tw Cen MT" w:hAnsi="Tw Cen MT" w:cs="Times New Roman"/>
          <w:i/>
          <w:noProof/>
          <w:sz w:val="20"/>
          <w:szCs w:val="20"/>
          <w:lang w:val="en-GB"/>
        </w:rPr>
        <w:t>Multidisplinary Advances in Veterinary Science.</w:t>
      </w:r>
      <w:r w:rsidR="00225302" w:rsidRPr="003D5527">
        <w:rPr>
          <w:rFonts w:ascii="Tw Cen MT" w:hAnsi="Tw Cen MT" w:cs="Times New Roman"/>
          <w:noProof/>
          <w:sz w:val="20"/>
          <w:szCs w:val="20"/>
          <w:lang w:val="en-GB"/>
        </w:rPr>
        <w:t xml:space="preserve"> Vol. 1(1): 13- 20.</w:t>
      </w:r>
    </w:p>
    <w:p w:rsidR="00B24B0F" w:rsidRPr="003D5527" w:rsidRDefault="00B24B0F" w:rsidP="00B24B0F">
      <w:pPr>
        <w:pStyle w:val="Title"/>
        <w:jc w:val="both"/>
        <w:rPr>
          <w:rFonts w:ascii="Tw Cen MT" w:hAnsi="Tw Cen MT"/>
          <w:b w:val="0"/>
          <w:sz w:val="20"/>
          <w:szCs w:val="20"/>
        </w:rPr>
      </w:pPr>
      <w:r w:rsidRPr="003D5527">
        <w:rPr>
          <w:rFonts w:ascii="Tw Cen MT" w:hAnsi="Tw Cen MT"/>
          <w:b w:val="0"/>
          <w:noProof/>
          <w:sz w:val="20"/>
          <w:szCs w:val="20"/>
          <w:lang w:val="en-GB"/>
        </w:rPr>
        <w:t>5</w:t>
      </w:r>
      <w:r w:rsidRPr="003D5527">
        <w:rPr>
          <w:rFonts w:ascii="Tw Cen MT" w:hAnsi="Tw Cen MT"/>
          <w:noProof/>
          <w:sz w:val="20"/>
          <w:szCs w:val="20"/>
          <w:lang w:val="en-GB"/>
        </w:rPr>
        <w:t xml:space="preserve">. </w:t>
      </w:r>
      <w:r w:rsidRPr="003D5527">
        <w:rPr>
          <w:rFonts w:ascii="Tw Cen MT" w:hAnsi="Tw Cen MT"/>
          <w:b w:val="0"/>
          <w:bCs w:val="0"/>
          <w:sz w:val="20"/>
          <w:szCs w:val="20"/>
        </w:rPr>
        <w:t xml:space="preserve">Oladunmoye, O. O., Abel, F. A. Silas., J. Anuoluwatelemi., I. T. Okporua and O. Erukainure, 2013. </w:t>
      </w:r>
      <w:proofErr w:type="gramStart"/>
      <w:r w:rsidRPr="003D5527">
        <w:rPr>
          <w:rFonts w:ascii="Tw Cen MT" w:hAnsi="Tw Cen MT"/>
          <w:b w:val="0"/>
          <w:bCs w:val="0"/>
          <w:sz w:val="20"/>
          <w:szCs w:val="20"/>
        </w:rPr>
        <w:t>Effect of domestic processing on the nutritional quality and organoleptic properties of ogi.</w:t>
      </w:r>
      <w:proofErr w:type="gramEnd"/>
      <w:r w:rsidRPr="003D5527">
        <w:rPr>
          <w:rFonts w:ascii="Tw Cen MT" w:hAnsi="Tw Cen MT"/>
          <w:b w:val="0"/>
          <w:bCs w:val="0"/>
          <w:sz w:val="20"/>
          <w:szCs w:val="20"/>
        </w:rPr>
        <w:t xml:space="preserve"> </w:t>
      </w:r>
      <w:proofErr w:type="gramStart"/>
      <w:r w:rsidRPr="003D5527">
        <w:rPr>
          <w:rFonts w:ascii="Tw Cen MT" w:hAnsi="Tw Cen MT"/>
          <w:b w:val="0"/>
          <w:i/>
          <w:sz w:val="20"/>
          <w:szCs w:val="20"/>
        </w:rPr>
        <w:t>Proceedings</w:t>
      </w:r>
      <w:r w:rsidRPr="003D5527">
        <w:rPr>
          <w:rFonts w:ascii="Tw Cen MT" w:hAnsi="Tw Cen MT"/>
          <w:b w:val="0"/>
          <w:sz w:val="20"/>
          <w:szCs w:val="20"/>
        </w:rPr>
        <w:t xml:space="preserve"> of the 37</w:t>
      </w:r>
      <w:r w:rsidRPr="003D5527">
        <w:rPr>
          <w:rFonts w:ascii="Tw Cen MT" w:hAnsi="Tw Cen MT"/>
          <w:b w:val="0"/>
          <w:sz w:val="20"/>
          <w:szCs w:val="20"/>
          <w:vertAlign w:val="superscript"/>
        </w:rPr>
        <w:t xml:space="preserve">th </w:t>
      </w:r>
      <w:r w:rsidRPr="003D5527">
        <w:rPr>
          <w:rFonts w:ascii="Tw Cen MT" w:hAnsi="Tw Cen MT"/>
          <w:b w:val="0"/>
          <w:sz w:val="20"/>
          <w:szCs w:val="20"/>
        </w:rPr>
        <w:t>Annual Conference Meeting of Nigerian Institute of Food Science and Technology (NIFST), ABUJA 2013.</w:t>
      </w:r>
      <w:proofErr w:type="gramEnd"/>
      <w:r w:rsidRPr="003D5527">
        <w:rPr>
          <w:rFonts w:ascii="Tw Cen MT" w:hAnsi="Tw Cen MT"/>
          <w:b w:val="0"/>
          <w:sz w:val="20"/>
          <w:szCs w:val="20"/>
        </w:rPr>
        <w:t xml:space="preserve"> Pp 82-83.</w:t>
      </w:r>
    </w:p>
    <w:p w:rsidR="00B24B0F" w:rsidRPr="003D5527" w:rsidRDefault="00B24B0F" w:rsidP="004D0A61">
      <w:pPr>
        <w:pStyle w:val="ListParagraph"/>
        <w:tabs>
          <w:tab w:val="left" w:pos="889"/>
          <w:tab w:val="left" w:pos="1226"/>
          <w:tab w:val="center" w:pos="4421"/>
        </w:tabs>
        <w:ind w:left="0"/>
        <w:jc w:val="both"/>
        <w:rPr>
          <w:rFonts w:ascii="Tw Cen MT" w:hAnsi="Tw Cen MT"/>
        </w:rPr>
      </w:pPr>
      <w:r w:rsidRPr="003D5527">
        <w:rPr>
          <w:rFonts w:ascii="Tw Cen MT" w:hAnsi="Tw Cen MT"/>
          <w:sz w:val="20"/>
          <w:szCs w:val="20"/>
        </w:rPr>
        <w:t xml:space="preserve">6. Abel, F. A. Silas., Oluwole, O. B., Elemo, G. N., Ajayi, A. O., Imade, A., Sarumi B. B., Onyibe, J., Mayaki, O. M., Odediran, F., Ebun, K. K., Egbai, H. C, Ogunji, A. O.,  Asieba, G., Erukainure, O.  L and Adeyemi, O. </w:t>
      </w:r>
      <w:proofErr w:type="gramStart"/>
      <w:r w:rsidRPr="003D5527">
        <w:rPr>
          <w:rFonts w:ascii="Tw Cen MT" w:hAnsi="Tw Cen MT"/>
          <w:sz w:val="20"/>
          <w:szCs w:val="20"/>
        </w:rPr>
        <w:t>A (2014).</w:t>
      </w:r>
      <w:proofErr w:type="gramEnd"/>
      <w:r w:rsidRPr="003D5527">
        <w:rPr>
          <w:rFonts w:ascii="Tw Cen MT" w:hAnsi="Tw Cen MT"/>
          <w:sz w:val="20"/>
          <w:szCs w:val="20"/>
        </w:rPr>
        <w:t xml:space="preserve"> Growth performance, nutrient digestibility and haematology of broiler chickens fed varying levels of okara and cassava peel meal. </w:t>
      </w:r>
      <w:r w:rsidRPr="003D5527">
        <w:rPr>
          <w:rFonts w:ascii="Tw Cen MT" w:hAnsi="Tw Cen MT"/>
          <w:i/>
          <w:sz w:val="20"/>
          <w:szCs w:val="20"/>
        </w:rPr>
        <w:t xml:space="preserve"> International Journal of Molecular Veterinary Research</w:t>
      </w:r>
      <w:r w:rsidRPr="003D5527">
        <w:rPr>
          <w:rFonts w:ascii="Tw Cen MT" w:hAnsi="Tw Cen MT"/>
          <w:sz w:val="20"/>
          <w:szCs w:val="20"/>
        </w:rPr>
        <w:t xml:space="preserve"> Vol 4 (2):  3- 8.</w:t>
      </w:r>
    </w:p>
    <w:p w:rsidR="00225302" w:rsidRPr="00225302" w:rsidRDefault="00225302" w:rsidP="00225302">
      <w:pPr>
        <w:autoSpaceDE w:val="0"/>
        <w:autoSpaceDN w:val="0"/>
        <w:adjustRightInd w:val="0"/>
        <w:spacing w:after="0" w:line="240" w:lineRule="auto"/>
        <w:ind w:hanging="1440"/>
        <w:jc w:val="both"/>
        <w:rPr>
          <w:rFonts w:ascii="Times New Roman" w:hAnsi="Times New Roman" w:cs="Times New Roman"/>
          <w:b/>
          <w:bCs/>
          <w:sz w:val="24"/>
          <w:szCs w:val="24"/>
          <w:u w:val="single"/>
        </w:rPr>
      </w:pPr>
    </w:p>
    <w:p w:rsidR="00225302" w:rsidRPr="00225302" w:rsidRDefault="00225302" w:rsidP="00225302">
      <w:pPr>
        <w:autoSpaceDE w:val="0"/>
        <w:autoSpaceDN w:val="0"/>
        <w:adjustRightInd w:val="0"/>
        <w:spacing w:after="0" w:line="240" w:lineRule="auto"/>
        <w:jc w:val="both"/>
        <w:rPr>
          <w:rFonts w:ascii="Times New Roman" w:hAnsi="Times New Roman" w:cs="Times New Roman"/>
          <w:sz w:val="24"/>
          <w:szCs w:val="24"/>
        </w:rPr>
      </w:pPr>
    </w:p>
    <w:p w:rsidR="00225302" w:rsidRPr="00225302" w:rsidRDefault="00225302" w:rsidP="00225302">
      <w:pPr>
        <w:autoSpaceDE w:val="0"/>
        <w:autoSpaceDN w:val="0"/>
        <w:adjustRightInd w:val="0"/>
        <w:spacing w:after="0" w:line="240" w:lineRule="auto"/>
        <w:rPr>
          <w:rFonts w:ascii="Times New Roman" w:hAnsi="Times New Roman"/>
          <w:sz w:val="24"/>
          <w:szCs w:val="24"/>
        </w:rPr>
      </w:pPr>
    </w:p>
    <w:sectPr w:rsidR="00225302" w:rsidRPr="00225302" w:rsidSect="00B671F6">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DB747F"/>
    <w:multiLevelType w:val="hybridMultilevel"/>
    <w:tmpl w:val="080298C6"/>
    <w:lvl w:ilvl="0" w:tplc="6E4E47D4">
      <w:start w:val="1"/>
      <w:numFmt w:val="decimal"/>
      <w:lvlText w:val="%1."/>
      <w:lvlJc w:val="left"/>
      <w:pPr>
        <w:ind w:left="720" w:hanging="360"/>
      </w:pPr>
      <w:rPr>
        <w:rFonts w:hint="default"/>
        <w:b/>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E5639"/>
    <w:rsid w:val="00003CC4"/>
    <w:rsid w:val="00072581"/>
    <w:rsid w:val="001B5411"/>
    <w:rsid w:val="00225302"/>
    <w:rsid w:val="00244C06"/>
    <w:rsid w:val="002F23AF"/>
    <w:rsid w:val="003B0776"/>
    <w:rsid w:val="003C3009"/>
    <w:rsid w:val="003D5527"/>
    <w:rsid w:val="004D0A61"/>
    <w:rsid w:val="00533355"/>
    <w:rsid w:val="00597F29"/>
    <w:rsid w:val="005B4697"/>
    <w:rsid w:val="00626C88"/>
    <w:rsid w:val="0064290B"/>
    <w:rsid w:val="00651229"/>
    <w:rsid w:val="008E5639"/>
    <w:rsid w:val="0090769F"/>
    <w:rsid w:val="00977E58"/>
    <w:rsid w:val="009C2034"/>
    <w:rsid w:val="00A60EE0"/>
    <w:rsid w:val="00A91CA9"/>
    <w:rsid w:val="00B24B0F"/>
    <w:rsid w:val="00B42833"/>
    <w:rsid w:val="00B671F6"/>
    <w:rsid w:val="00C754EC"/>
    <w:rsid w:val="00C82ECF"/>
    <w:rsid w:val="00DE0AE6"/>
    <w:rsid w:val="00E06C00"/>
    <w:rsid w:val="00E702A2"/>
    <w:rsid w:val="00ED58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7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5639"/>
    <w:rPr>
      <w:color w:val="0000FF" w:themeColor="hyperlink"/>
      <w:u w:val="single"/>
    </w:rPr>
  </w:style>
  <w:style w:type="paragraph" w:styleId="BalloonText">
    <w:name w:val="Balloon Text"/>
    <w:basedOn w:val="Normal"/>
    <w:link w:val="BalloonTextChar"/>
    <w:uiPriority w:val="99"/>
    <w:semiHidden/>
    <w:unhideWhenUsed/>
    <w:rsid w:val="00ED5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58D0"/>
    <w:rPr>
      <w:rFonts w:ascii="Tahoma" w:hAnsi="Tahoma" w:cs="Tahoma"/>
      <w:sz w:val="16"/>
      <w:szCs w:val="16"/>
    </w:rPr>
  </w:style>
  <w:style w:type="paragraph" w:styleId="Title">
    <w:name w:val="Title"/>
    <w:basedOn w:val="Normal"/>
    <w:link w:val="TitleChar"/>
    <w:qFormat/>
    <w:rsid w:val="00225302"/>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225302"/>
    <w:rPr>
      <w:rFonts w:ascii="Times New Roman" w:eastAsia="Times New Roman" w:hAnsi="Times New Roman" w:cs="Times New Roman"/>
      <w:b/>
      <w:bCs/>
      <w:sz w:val="24"/>
      <w:szCs w:val="24"/>
    </w:rPr>
  </w:style>
  <w:style w:type="paragraph" w:styleId="ListParagraph">
    <w:name w:val="List Paragraph"/>
    <w:basedOn w:val="Normal"/>
    <w:uiPriority w:val="34"/>
    <w:qFormat/>
    <w:rsid w:val="00B24B0F"/>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silasabel@y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salis</dc:creator>
  <cp:lastModifiedBy>salis</cp:lastModifiedBy>
  <cp:revision>10</cp:revision>
  <dcterms:created xsi:type="dcterms:W3CDTF">2018-04-02T16:50:00Z</dcterms:created>
  <dcterms:modified xsi:type="dcterms:W3CDTF">2018-04-03T15:34:00Z</dcterms:modified>
</cp:coreProperties>
</file>