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E556C" w:rsidP="00494130">
      <w:pPr>
        <w:pStyle w:val="Heading1"/>
        <w:spacing w:before="170"/>
        <w:ind w:left="0"/>
      </w:pPr>
      <w:r w:rsidRPr="007E556C">
        <w:rPr>
          <w:color w:val="337AB7"/>
        </w:rPr>
        <w:t xml:space="preserve">Investigation on effects of Rice Cooking treatments on </w:t>
      </w:r>
      <w:proofErr w:type="spellStart"/>
      <w:r w:rsidRPr="007E556C">
        <w:rPr>
          <w:color w:val="337AB7"/>
        </w:rPr>
        <w:t>Malathion</w:t>
      </w:r>
      <w:proofErr w:type="spellEnd"/>
      <w:r w:rsidRPr="007E556C">
        <w:rPr>
          <w:color w:val="337AB7"/>
        </w:rPr>
        <w:t xml:space="preserve"> and </w:t>
      </w:r>
      <w:proofErr w:type="spellStart"/>
      <w:r w:rsidRPr="007E556C">
        <w:rPr>
          <w:color w:val="337AB7"/>
        </w:rPr>
        <w:t>Tricyclazole</w:t>
      </w:r>
      <w:proofErr w:type="spellEnd"/>
      <w:r w:rsidRPr="007E556C">
        <w:rPr>
          <w:color w:val="337AB7"/>
        </w:rPr>
        <w:t xml:space="preserve"> Residues</w:t>
      </w:r>
    </w:p>
    <w:p w:rsidR="00AE3E37" w:rsidRDefault="004F4186" w:rsidP="004F4186">
      <w:pPr>
        <w:pStyle w:val="BodyText"/>
        <w:spacing w:before="73" w:line="198" w:lineRule="exact"/>
        <w:ind w:left="100" w:right="5987"/>
        <w:rPr>
          <w:rFonts w:ascii="Arial"/>
          <w:sz w:val="20"/>
        </w:rPr>
      </w:pPr>
      <w:r>
        <w:rPr>
          <w:rFonts w:ascii="Arial"/>
        </w:rPr>
        <w:t xml:space="preserve">Nima Babolani Mogadam, </w:t>
      </w:r>
      <w:r w:rsidRPr="004F4186">
        <w:rPr>
          <w:rFonts w:ascii="Arial"/>
        </w:rPr>
        <w:t>Department of Science and Food Engineering, Islamic Azad University, Science and Research Branch, Tehran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3D2372">
      <w:pPr>
        <w:pStyle w:val="Heading3"/>
        <w:spacing w:before="147"/>
        <w:jc w:val="both"/>
      </w:pPr>
      <w:r>
        <w:rPr>
          <w:color w:val="BF5A14"/>
        </w:rPr>
        <w:lastRenderedPageBreak/>
        <w:t>Abstract</w:t>
      </w:r>
    </w:p>
    <w:p w:rsidR="007E556C" w:rsidRDefault="007E556C" w:rsidP="007E556C">
      <w:pPr>
        <w:pStyle w:val="BodyText"/>
        <w:spacing w:before="90" w:line="280" w:lineRule="auto"/>
        <w:ind w:left="100"/>
        <w:jc w:val="both"/>
      </w:pPr>
      <w:r>
        <w:t>White rice is one of the most common foods for Iranian people. Simple domestic processes like washing, soaking and cooking enhance the digestibility and nutritive value of rice. Use of pesticides and fungicides is essential to improve agricultural and cultivation operations in spite of lack in agricultural areas. Nevertheless, resid</w:t>
      </w:r>
      <w:bookmarkStart w:id="0" w:name="_GoBack"/>
      <w:bookmarkEnd w:id="0"/>
      <w:r>
        <w:t xml:space="preserve">ues of pesticides and fungicides in foods are toxic and hazardous for human certainly. </w:t>
      </w:r>
    </w:p>
    <w:p w:rsidR="007E556C" w:rsidRDefault="007E556C" w:rsidP="007E556C">
      <w:pPr>
        <w:pStyle w:val="BodyText"/>
        <w:spacing w:before="90" w:line="280" w:lineRule="auto"/>
        <w:ind w:left="100"/>
        <w:jc w:val="both"/>
      </w:pPr>
      <w:r>
        <w:t xml:space="preserve">In this study effects of domestic processes including washing, soaking, usual and traditional cooking for </w:t>
      </w:r>
      <w:proofErr w:type="spellStart"/>
      <w:r>
        <w:t>Malathion</w:t>
      </w:r>
      <w:proofErr w:type="spellEnd"/>
      <w:r>
        <w:t xml:space="preserve"> and </w:t>
      </w:r>
      <w:proofErr w:type="spellStart"/>
      <w:r>
        <w:t>Tricyclazole</w:t>
      </w:r>
      <w:proofErr w:type="spellEnd"/>
      <w:r>
        <w:t xml:space="preserve"> residues in white rice have been investigated.</w:t>
      </w:r>
    </w:p>
    <w:p w:rsidR="007E556C" w:rsidRDefault="007E556C" w:rsidP="007E556C">
      <w:pPr>
        <w:pStyle w:val="BodyText"/>
        <w:spacing w:before="90" w:line="280" w:lineRule="auto"/>
        <w:ind w:left="100"/>
        <w:jc w:val="both"/>
      </w:pPr>
      <w:proofErr w:type="spellStart"/>
      <w:r>
        <w:t>Malathion</w:t>
      </w:r>
      <w:proofErr w:type="spellEnd"/>
      <w:r>
        <w:t xml:space="preserve"> residue decreased in white rice samples 48.13, 89.21, 88.44 and 54.14% by washing, soaking, usual and traditional cooking processes, respectively. All treatments reduced </w:t>
      </w:r>
      <w:proofErr w:type="spellStart"/>
      <w:r>
        <w:t>Malathion</w:t>
      </w:r>
      <w:proofErr w:type="spellEnd"/>
      <w:r>
        <w:t xml:space="preserve"> residue significantly in rice samples. </w:t>
      </w:r>
    </w:p>
    <w:p w:rsidR="007E556C" w:rsidRDefault="007E556C" w:rsidP="007E556C">
      <w:pPr>
        <w:pStyle w:val="BodyText"/>
        <w:spacing w:before="90" w:line="280" w:lineRule="auto"/>
        <w:ind w:left="100"/>
        <w:jc w:val="both"/>
      </w:pPr>
      <w:proofErr w:type="spellStart"/>
      <w:r>
        <w:t>Tricyclazole</w:t>
      </w:r>
      <w:proofErr w:type="spellEnd"/>
      <w:r>
        <w:t xml:space="preserve"> residue also reduced in rice samples also 69.34, 94.35, 88.48 and 77.32% by washing, soaking, usual and traditional cooking processes, respectively. </w:t>
      </w:r>
    </w:p>
    <w:p w:rsidR="00AE3E37" w:rsidRDefault="007E556C" w:rsidP="007E556C">
      <w:pPr>
        <w:pStyle w:val="BodyText"/>
        <w:spacing w:before="90" w:line="280" w:lineRule="auto"/>
        <w:ind w:left="100"/>
        <w:jc w:val="both"/>
      </w:pPr>
      <w:r>
        <w:t xml:space="preserve">All processes decreased the </w:t>
      </w:r>
      <w:proofErr w:type="spellStart"/>
      <w:r>
        <w:t>Malathion</w:t>
      </w:r>
      <w:proofErr w:type="spellEnd"/>
      <w:r>
        <w:t xml:space="preserve"> residue in rice samples significantly. According to obtained results, washing, soaking and cooking processes, reduced </w:t>
      </w:r>
      <w:proofErr w:type="spellStart"/>
      <w:r>
        <w:t>Malathion</w:t>
      </w:r>
      <w:proofErr w:type="spellEnd"/>
      <w:r>
        <w:t xml:space="preserve"> and </w:t>
      </w:r>
      <w:proofErr w:type="spellStart"/>
      <w:r>
        <w:t>Tricyclazole</w:t>
      </w:r>
      <w:proofErr w:type="spellEnd"/>
      <w:r>
        <w:t xml:space="preserve"> residues in white rice.</w:t>
      </w:r>
    </w:p>
    <w:p w:rsidR="005973B9" w:rsidRDefault="00A9710C" w:rsidP="003D2372">
      <w:pPr>
        <w:pStyle w:val="Heading3"/>
        <w:spacing w:before="74"/>
        <w:rPr>
          <w:b w:val="0"/>
        </w:rPr>
      </w:pPr>
      <w:r>
        <w:rPr>
          <w:b w:val="0"/>
        </w:rPr>
        <w:br w:type="column"/>
      </w:r>
      <w:r w:rsidR="003D2372">
        <w:rPr>
          <w:color w:val="BF5A14"/>
        </w:rPr>
        <w:lastRenderedPageBreak/>
        <w:t>Recent Publications</w:t>
      </w:r>
    </w:p>
    <w:p w:rsidR="00AF6938" w:rsidRDefault="00AF6938" w:rsidP="00AF6938">
      <w:pPr>
        <w:pStyle w:val="ListParagraph"/>
        <w:numPr>
          <w:ilvl w:val="0"/>
          <w:numId w:val="3"/>
        </w:numPr>
        <w:tabs>
          <w:tab w:val="left" w:pos="384"/>
        </w:tabs>
        <w:spacing w:line="216" w:lineRule="exact"/>
        <w:ind w:right="137"/>
        <w:rPr>
          <w:sz w:val="18"/>
        </w:rPr>
      </w:pPr>
      <w:r w:rsidRPr="00AF6938">
        <w:rPr>
          <w:sz w:val="18"/>
        </w:rPr>
        <w:t>PADASHT, D. F., KHOSRAVI, V., DODABEINAJAD, E., POURFARHANG, H., &amp; DARIUSH, S. (2012). EFFICACY OF A MIXTURE FUNGICIDE TRICYCLAZOLE+ THIOPHANATE METHYL IN COMPARISON WITH SOME COMMONLY USED FUNGICIDES IN CONTROLLING OF RICE BLAST DISEASE IN NORTHERN IRAN.</w:t>
      </w:r>
    </w:p>
    <w:p w:rsidR="00C56A3C" w:rsidRPr="00C56A3C" w:rsidRDefault="00C56A3C" w:rsidP="00C56A3C">
      <w:pPr>
        <w:pStyle w:val="ListParagraph"/>
        <w:numPr>
          <w:ilvl w:val="0"/>
          <w:numId w:val="3"/>
        </w:numPr>
        <w:tabs>
          <w:tab w:val="left" w:pos="384"/>
        </w:tabs>
        <w:spacing w:line="216" w:lineRule="exact"/>
        <w:ind w:right="137"/>
        <w:rPr>
          <w:sz w:val="18"/>
        </w:rPr>
      </w:pPr>
      <w:r w:rsidRPr="00C56A3C">
        <w:rPr>
          <w:sz w:val="18"/>
        </w:rPr>
        <w:t xml:space="preserve">Ahmed, F. E. (2001). Analyses of pesticides and their metabolites in foods and drinks. </w:t>
      </w:r>
      <w:proofErr w:type="spellStart"/>
      <w:r w:rsidRPr="00C56A3C">
        <w:rPr>
          <w:sz w:val="18"/>
        </w:rPr>
        <w:t>TrAC</w:t>
      </w:r>
      <w:proofErr w:type="spellEnd"/>
      <w:r w:rsidRPr="00C56A3C">
        <w:rPr>
          <w:sz w:val="18"/>
        </w:rPr>
        <w:t xml:space="preserve"> Trends in Analytical Chemistry, 20(11), 649-661.</w:t>
      </w:r>
    </w:p>
    <w:p w:rsidR="00C56A3C" w:rsidRDefault="00C56A3C" w:rsidP="00C56A3C">
      <w:pPr>
        <w:pStyle w:val="ListParagraph"/>
        <w:numPr>
          <w:ilvl w:val="0"/>
          <w:numId w:val="3"/>
        </w:numPr>
        <w:tabs>
          <w:tab w:val="left" w:pos="384"/>
        </w:tabs>
        <w:spacing w:line="216" w:lineRule="exact"/>
        <w:ind w:right="137"/>
        <w:rPr>
          <w:sz w:val="18"/>
        </w:rPr>
      </w:pPr>
      <w:proofErr w:type="spellStart"/>
      <w:r w:rsidRPr="00C56A3C">
        <w:rPr>
          <w:sz w:val="18"/>
        </w:rPr>
        <w:t>Tomer</w:t>
      </w:r>
      <w:proofErr w:type="spellEnd"/>
      <w:r w:rsidRPr="00C56A3C">
        <w:rPr>
          <w:sz w:val="18"/>
        </w:rPr>
        <w:t xml:space="preserve">, V., </w:t>
      </w:r>
      <w:proofErr w:type="spellStart"/>
      <w:r w:rsidRPr="00C56A3C">
        <w:rPr>
          <w:sz w:val="18"/>
        </w:rPr>
        <w:t>Sangha</w:t>
      </w:r>
      <w:proofErr w:type="spellEnd"/>
      <w:r w:rsidRPr="00C56A3C">
        <w:rPr>
          <w:sz w:val="18"/>
        </w:rPr>
        <w:t xml:space="preserve">, J. K., &amp; </w:t>
      </w:r>
      <w:proofErr w:type="spellStart"/>
      <w:r w:rsidRPr="00C56A3C">
        <w:rPr>
          <w:sz w:val="18"/>
        </w:rPr>
        <w:t>Takkar</w:t>
      </w:r>
      <w:proofErr w:type="spellEnd"/>
      <w:r w:rsidRPr="00C56A3C">
        <w:rPr>
          <w:sz w:val="18"/>
        </w:rPr>
        <w:t xml:space="preserve">, R. (2013). Effect of Household Processing Treatments on </w:t>
      </w:r>
      <w:proofErr w:type="spellStart"/>
      <w:r w:rsidRPr="00C56A3C">
        <w:rPr>
          <w:sz w:val="18"/>
        </w:rPr>
        <w:t>Malathion</w:t>
      </w:r>
      <w:proofErr w:type="spellEnd"/>
      <w:r w:rsidRPr="00C56A3C">
        <w:rPr>
          <w:sz w:val="18"/>
        </w:rPr>
        <w:t xml:space="preserve"> Residues in Cucumber. Asian Journal of Home Science, 8(2), 731-734.</w:t>
      </w:r>
    </w:p>
    <w:p w:rsidR="00C56A3C" w:rsidRPr="00C56A3C" w:rsidRDefault="00C56A3C" w:rsidP="00C56A3C">
      <w:pPr>
        <w:pStyle w:val="ListParagraph"/>
        <w:numPr>
          <w:ilvl w:val="0"/>
          <w:numId w:val="3"/>
        </w:numPr>
        <w:tabs>
          <w:tab w:val="left" w:pos="384"/>
        </w:tabs>
        <w:spacing w:line="216" w:lineRule="exact"/>
        <w:ind w:right="137"/>
        <w:rPr>
          <w:sz w:val="18"/>
        </w:rPr>
      </w:pPr>
      <w:proofErr w:type="spellStart"/>
      <w:r>
        <w:rPr>
          <w:rFonts w:ascii="Arial" w:hAnsi="Arial" w:cs="Arial"/>
          <w:color w:val="222222"/>
          <w:sz w:val="20"/>
          <w:szCs w:val="20"/>
          <w:shd w:val="clear" w:color="auto" w:fill="FFFFFF"/>
        </w:rPr>
        <w:t>Skretteberg</w:t>
      </w:r>
      <w:proofErr w:type="spellEnd"/>
      <w:r>
        <w:rPr>
          <w:rFonts w:ascii="Arial" w:hAnsi="Arial" w:cs="Arial"/>
          <w:color w:val="222222"/>
          <w:sz w:val="20"/>
          <w:szCs w:val="20"/>
          <w:shd w:val="clear" w:color="auto" w:fill="FFFFFF"/>
        </w:rPr>
        <w:t xml:space="preserve">, L. G., </w:t>
      </w:r>
      <w:proofErr w:type="spellStart"/>
      <w:r>
        <w:rPr>
          <w:rFonts w:ascii="Arial" w:hAnsi="Arial" w:cs="Arial"/>
          <w:color w:val="222222"/>
          <w:sz w:val="20"/>
          <w:szCs w:val="20"/>
          <w:shd w:val="clear" w:color="auto" w:fill="FFFFFF"/>
        </w:rPr>
        <w:t>Lyrån</w:t>
      </w:r>
      <w:proofErr w:type="spellEnd"/>
      <w:r>
        <w:rPr>
          <w:rFonts w:ascii="Arial" w:hAnsi="Arial" w:cs="Arial"/>
          <w:color w:val="222222"/>
          <w:sz w:val="20"/>
          <w:szCs w:val="20"/>
          <w:shd w:val="clear" w:color="auto" w:fill="FFFFFF"/>
        </w:rPr>
        <w:t xml:space="preserve">, B., </w:t>
      </w:r>
      <w:proofErr w:type="spellStart"/>
      <w:r>
        <w:rPr>
          <w:rFonts w:ascii="Arial" w:hAnsi="Arial" w:cs="Arial"/>
          <w:color w:val="222222"/>
          <w:sz w:val="20"/>
          <w:szCs w:val="20"/>
          <w:shd w:val="clear" w:color="auto" w:fill="FFFFFF"/>
        </w:rPr>
        <w:t>Holen</w:t>
      </w:r>
      <w:proofErr w:type="spellEnd"/>
      <w:r>
        <w:rPr>
          <w:rFonts w:ascii="Arial" w:hAnsi="Arial" w:cs="Arial"/>
          <w:color w:val="222222"/>
          <w:sz w:val="20"/>
          <w:szCs w:val="20"/>
          <w:shd w:val="clear" w:color="auto" w:fill="FFFFFF"/>
        </w:rPr>
        <w:t xml:space="preserve">, B., </w:t>
      </w:r>
      <w:proofErr w:type="spellStart"/>
      <w:r>
        <w:rPr>
          <w:rFonts w:ascii="Arial" w:hAnsi="Arial" w:cs="Arial"/>
          <w:color w:val="222222"/>
          <w:sz w:val="20"/>
          <w:szCs w:val="20"/>
          <w:shd w:val="clear" w:color="auto" w:fill="FFFFFF"/>
        </w:rPr>
        <w:t>Jansson</w:t>
      </w:r>
      <w:proofErr w:type="spellEnd"/>
      <w:r>
        <w:rPr>
          <w:rFonts w:ascii="Arial" w:hAnsi="Arial" w:cs="Arial"/>
          <w:color w:val="222222"/>
          <w:sz w:val="20"/>
          <w:szCs w:val="20"/>
          <w:shd w:val="clear" w:color="auto" w:fill="FFFFFF"/>
        </w:rPr>
        <w:t xml:space="preserve">, A., </w:t>
      </w:r>
      <w:proofErr w:type="spellStart"/>
      <w:r>
        <w:rPr>
          <w:rFonts w:ascii="Arial" w:hAnsi="Arial" w:cs="Arial"/>
          <w:color w:val="222222"/>
          <w:sz w:val="20"/>
          <w:szCs w:val="20"/>
          <w:shd w:val="clear" w:color="auto" w:fill="FFFFFF"/>
        </w:rPr>
        <w:t>Fohgelberg</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Siivinen</w:t>
      </w:r>
      <w:proofErr w:type="spellEnd"/>
      <w:r>
        <w:rPr>
          <w:rFonts w:ascii="Arial" w:hAnsi="Arial" w:cs="Arial"/>
          <w:color w:val="222222"/>
          <w:sz w:val="20"/>
          <w:szCs w:val="20"/>
          <w:shd w:val="clear" w:color="auto" w:fill="FFFFFF"/>
        </w:rPr>
        <w:t>, K</w:t>
      </w:r>
      <w:proofErr w:type="gramStart"/>
      <w:r>
        <w:rPr>
          <w:rFonts w:ascii="Arial" w:hAnsi="Arial" w:cs="Arial"/>
          <w:color w:val="222222"/>
          <w:sz w:val="20"/>
          <w:szCs w:val="20"/>
          <w:shd w:val="clear" w:color="auto" w:fill="FFFFFF"/>
        </w:rPr>
        <w:t>., ...</w:t>
      </w:r>
      <w:proofErr w:type="gramEnd"/>
      <w:r>
        <w:rPr>
          <w:rFonts w:ascii="Arial" w:hAnsi="Arial" w:cs="Arial"/>
          <w:color w:val="222222"/>
          <w:sz w:val="20"/>
          <w:szCs w:val="20"/>
          <w:shd w:val="clear" w:color="auto" w:fill="FFFFFF"/>
        </w:rPr>
        <w:t xml:space="preserve"> &amp; Jensen, B. H. (2015). Pesticide residues in food of plant origin from Southeast Asia–A Nordic project.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Food Control</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51</w:t>
      </w:r>
      <w:r>
        <w:rPr>
          <w:rFonts w:ascii="Arial" w:hAnsi="Arial" w:cs="Arial"/>
          <w:color w:val="222222"/>
          <w:sz w:val="20"/>
          <w:szCs w:val="20"/>
          <w:shd w:val="clear" w:color="auto" w:fill="FFFFFF"/>
        </w:rPr>
        <w:t xml:space="preserve">, </w:t>
      </w:r>
      <w:r w:rsidRPr="00C56A3C">
        <w:rPr>
          <w:rFonts w:ascii="Arial" w:hAnsi="Arial" w:cs="Arial"/>
          <w:color w:val="222222"/>
          <w:sz w:val="20"/>
          <w:szCs w:val="20"/>
          <w:shd w:val="clear" w:color="auto" w:fill="FFFFFF"/>
        </w:rPr>
        <w:t>225-235.</w:t>
      </w:r>
    </w:p>
    <w:p w:rsidR="00AE3E37" w:rsidRDefault="005973B9" w:rsidP="00C56A3C">
      <w:pPr>
        <w:pStyle w:val="BodyText"/>
        <w:spacing w:before="85" w:line="216" w:lineRule="exact"/>
        <w:ind w:left="383" w:right="138" w:hanging="284"/>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C56A3C">
        <w:rPr>
          <w:rFonts w:ascii="Calibri" w:hAnsi="Calibri"/>
        </w:rPr>
        <w:t xml:space="preserve">5. </w:t>
      </w:r>
      <w:proofErr w:type="spellStart"/>
      <w:r w:rsidR="00C56A3C" w:rsidRPr="00C56A3C">
        <w:rPr>
          <w:rFonts w:ascii="Calibri" w:hAnsi="Calibri"/>
        </w:rPr>
        <w:t>Ozbey</w:t>
      </w:r>
      <w:proofErr w:type="spellEnd"/>
      <w:r w:rsidR="00C56A3C" w:rsidRPr="00C56A3C">
        <w:rPr>
          <w:rFonts w:ascii="Calibri" w:hAnsi="Calibri"/>
        </w:rPr>
        <w:t xml:space="preserve">, A., &amp; </w:t>
      </w:r>
      <w:proofErr w:type="spellStart"/>
      <w:r w:rsidR="00C56A3C" w:rsidRPr="00C56A3C">
        <w:rPr>
          <w:rFonts w:ascii="Calibri" w:hAnsi="Calibri"/>
        </w:rPr>
        <w:t>Uygun</w:t>
      </w:r>
      <w:proofErr w:type="spellEnd"/>
      <w:r w:rsidR="00C56A3C" w:rsidRPr="00C56A3C">
        <w:rPr>
          <w:rFonts w:ascii="Calibri" w:hAnsi="Calibri"/>
        </w:rPr>
        <w:t xml:space="preserve">, U. (2007). </w:t>
      </w:r>
      <w:proofErr w:type="spellStart"/>
      <w:proofErr w:type="gramStart"/>
      <w:r w:rsidR="00C56A3C" w:rsidRPr="00C56A3C">
        <w:rPr>
          <w:rFonts w:ascii="Calibri" w:hAnsi="Calibri"/>
        </w:rPr>
        <w:t>Behaviour</w:t>
      </w:r>
      <w:proofErr w:type="spellEnd"/>
      <w:r w:rsidR="00C56A3C" w:rsidRPr="00C56A3C">
        <w:rPr>
          <w:rFonts w:ascii="Calibri" w:hAnsi="Calibri"/>
        </w:rPr>
        <w:t xml:space="preserve"> of some </w:t>
      </w:r>
      <w:proofErr w:type="spellStart"/>
      <w:r w:rsidR="00C56A3C" w:rsidRPr="00C56A3C">
        <w:rPr>
          <w:rFonts w:ascii="Calibri" w:hAnsi="Calibri"/>
        </w:rPr>
        <w:t>organophosphorus</w:t>
      </w:r>
      <w:proofErr w:type="spellEnd"/>
      <w:r w:rsidR="00C56A3C" w:rsidRPr="00C56A3C">
        <w:rPr>
          <w:rFonts w:ascii="Calibri" w:hAnsi="Calibri"/>
        </w:rPr>
        <w:t xml:space="preserve"> pesticide residues in peppermint tea during the infusion process.</w:t>
      </w:r>
      <w:proofErr w:type="gramEnd"/>
      <w:r w:rsidR="00C56A3C" w:rsidRPr="00C56A3C">
        <w:rPr>
          <w:rFonts w:ascii="Calibri" w:hAnsi="Calibri"/>
        </w:rPr>
        <w:t xml:space="preserve"> </w:t>
      </w:r>
      <w:proofErr w:type="gramStart"/>
      <w:r w:rsidR="00C56A3C" w:rsidRPr="00C56A3C">
        <w:rPr>
          <w:rFonts w:ascii="Calibri" w:hAnsi="Calibri"/>
        </w:rPr>
        <w:t>Food chemistry, 104(1), 237-241.</w:t>
      </w:r>
      <w:proofErr w:type="gramEnd"/>
      <w:r w:rsidR="008756E6">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705274">
      <w:pPr>
        <w:spacing w:before="92"/>
        <w:ind w:right="4234"/>
        <w:rPr>
          <w:rFonts w:ascii="Arial"/>
        </w:rPr>
      </w:pPr>
      <w:r>
        <w:rPr>
          <w:noProof/>
        </w:rPr>
        <w:t xml:space="preserve">              </w:t>
      </w:r>
      <w:r>
        <w:rPr>
          <w:noProof/>
        </w:rPr>
        <w:drawing>
          <wp:inline distT="0" distB="0" distL="0" distR="0" wp14:anchorId="5B0765F9" wp14:editId="45DFFB5E">
            <wp:extent cx="590823" cy="6949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592769" cy="697233"/>
                    </a:xfrm>
                    <a:prstGeom prst="rect">
                      <a:avLst/>
                    </a:prstGeom>
                    <a:noFill/>
                    <a:ln>
                      <a:noFill/>
                    </a:ln>
                  </pic:spPr>
                </pic:pic>
              </a:graphicData>
            </a:graphic>
          </wp:inline>
        </w:drawing>
      </w:r>
      <w:r w:rsidR="002E2EF0">
        <w:rPr>
          <w:noProof/>
        </w:rPr>
        <w:t xml:space="preserve"> </w:t>
      </w:r>
      <w:r w:rsidR="00A9710C">
        <w:rPr>
          <w:rFonts w:ascii="Arial"/>
          <w:color w:val="BF5A14"/>
        </w:rPr>
        <w:t>Biography</w:t>
      </w:r>
      <w:r w:rsidR="00705274">
        <w:rPr>
          <w:rFonts w:ascii="Arial"/>
          <w:color w:val="BF5A14"/>
        </w:rPr>
        <w:t xml:space="preserve"> </w:t>
      </w:r>
    </w:p>
    <w:p w:rsidR="00AE3E37" w:rsidRDefault="004F4186" w:rsidP="00705274">
      <w:pPr>
        <w:spacing w:before="41" w:line="154" w:lineRule="exact"/>
        <w:ind w:left="213" w:right="231"/>
        <w:jc w:val="both"/>
        <w:rPr>
          <w:rFonts w:ascii="Arial"/>
          <w:sz w:val="14"/>
        </w:rPr>
      </w:pPr>
      <w:r w:rsidRPr="004F4186">
        <w:rPr>
          <w:rFonts w:ascii="Arial"/>
          <w:sz w:val="14"/>
        </w:rPr>
        <w:t>Nima Babolani Mogadam</w:t>
      </w:r>
      <w:r>
        <w:rPr>
          <w:rFonts w:ascii="Arial"/>
          <w:sz w:val="14"/>
        </w:rPr>
        <w:t xml:space="preserve"> </w:t>
      </w:r>
      <w:r w:rsidR="00A9710C">
        <w:rPr>
          <w:rFonts w:ascii="Arial"/>
          <w:sz w:val="14"/>
        </w:rPr>
        <w:t xml:space="preserve">has </w:t>
      </w:r>
      <w:r>
        <w:rPr>
          <w:rFonts w:ascii="Arial"/>
          <w:sz w:val="14"/>
        </w:rPr>
        <w:t>his</w:t>
      </w:r>
      <w:r w:rsidR="00A9710C">
        <w:rPr>
          <w:rFonts w:ascii="Arial"/>
          <w:sz w:val="14"/>
        </w:rPr>
        <w:t xml:space="preserve"> expertise in </w:t>
      </w:r>
      <w:r>
        <w:rPr>
          <w:rFonts w:ascii="Arial"/>
          <w:sz w:val="14"/>
        </w:rPr>
        <w:t xml:space="preserve">extend and </w:t>
      </w:r>
      <w:r w:rsidR="00A9710C">
        <w:rPr>
          <w:rFonts w:ascii="Arial"/>
          <w:sz w:val="14"/>
        </w:rPr>
        <w:t xml:space="preserve">improving the </w:t>
      </w:r>
      <w:r>
        <w:rPr>
          <w:rFonts w:ascii="Arial"/>
          <w:sz w:val="14"/>
        </w:rPr>
        <w:t xml:space="preserve">food </w:t>
      </w:r>
      <w:r w:rsidR="005A3665">
        <w:rPr>
          <w:rFonts w:ascii="Arial"/>
          <w:sz w:val="14"/>
        </w:rPr>
        <w:t xml:space="preserve">shelf life and </w:t>
      </w:r>
      <w:r w:rsidR="00705274">
        <w:rPr>
          <w:rFonts w:ascii="Arial"/>
          <w:sz w:val="14"/>
        </w:rPr>
        <w:t>study on food safety</w:t>
      </w:r>
      <w:r w:rsidR="00A9710C">
        <w:rPr>
          <w:rFonts w:ascii="Arial"/>
          <w:sz w:val="14"/>
        </w:rPr>
        <w:t>.</w:t>
      </w:r>
    </w:p>
    <w:p w:rsidR="00AE3E37" w:rsidRDefault="00A9710C" w:rsidP="004F4186">
      <w:pPr>
        <w:spacing w:before="62"/>
        <w:ind w:left="4217" w:right="4235"/>
        <w:jc w:val="center"/>
        <w:rPr>
          <w:rFonts w:ascii="Arial"/>
          <w:sz w:val="14"/>
        </w:rPr>
      </w:pPr>
      <w:r>
        <w:rPr>
          <w:rFonts w:ascii="Arial"/>
          <w:sz w:val="14"/>
        </w:rPr>
        <w:t xml:space="preserve">Email: </w:t>
      </w:r>
      <w:hyperlink r:id="rId11" w:history="1">
        <w:r w:rsidR="004F4186" w:rsidRPr="00DA430A">
          <w:rPr>
            <w:rStyle w:val="Hyperlink"/>
            <w:rFonts w:ascii="Arial"/>
            <w:sz w:val="14"/>
          </w:rPr>
          <w:t>nimanbm@gmail.com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5CB9" w:rsidRDefault="00C05CB9">
      <w:r>
        <w:separator/>
      </w:r>
    </w:p>
  </w:endnote>
  <w:endnote w:type="continuationSeparator" w:id="0">
    <w:p w:rsidR="00C05CB9" w:rsidRDefault="00C05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5CB9" w:rsidRDefault="00C05CB9">
      <w:r>
        <w:separator/>
      </w:r>
    </w:p>
  </w:footnote>
  <w:footnote w:type="continuationSeparator" w:id="0">
    <w:p w:rsidR="00C05CB9" w:rsidRDefault="00C05C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bAwNLEwMjMyMjS2NLZU0lEKTi0uzszPAykwqQUA1HwoWSwAAAA="/>
  </w:docVars>
  <w:rsids>
    <w:rsidRoot w:val="00AE3E37"/>
    <w:rsid w:val="00052FA4"/>
    <w:rsid w:val="00055914"/>
    <w:rsid w:val="000E2911"/>
    <w:rsid w:val="001263DF"/>
    <w:rsid w:val="002455EC"/>
    <w:rsid w:val="00292ED9"/>
    <w:rsid w:val="002E2EF0"/>
    <w:rsid w:val="003A02F7"/>
    <w:rsid w:val="003D2372"/>
    <w:rsid w:val="00404E5B"/>
    <w:rsid w:val="00414F7B"/>
    <w:rsid w:val="004355DC"/>
    <w:rsid w:val="004749B4"/>
    <w:rsid w:val="00494130"/>
    <w:rsid w:val="004F3523"/>
    <w:rsid w:val="004F4186"/>
    <w:rsid w:val="005973B9"/>
    <w:rsid w:val="005A3665"/>
    <w:rsid w:val="005B3A56"/>
    <w:rsid w:val="006060CE"/>
    <w:rsid w:val="0063497F"/>
    <w:rsid w:val="00705274"/>
    <w:rsid w:val="00744633"/>
    <w:rsid w:val="007E556C"/>
    <w:rsid w:val="00812FE6"/>
    <w:rsid w:val="00873DF0"/>
    <w:rsid w:val="008756E6"/>
    <w:rsid w:val="008A08B6"/>
    <w:rsid w:val="009B2D44"/>
    <w:rsid w:val="00A07E82"/>
    <w:rsid w:val="00A9710C"/>
    <w:rsid w:val="00AE3E37"/>
    <w:rsid w:val="00AF6938"/>
    <w:rsid w:val="00B21A57"/>
    <w:rsid w:val="00C05CB9"/>
    <w:rsid w:val="00C33602"/>
    <w:rsid w:val="00C56A3C"/>
    <w:rsid w:val="00CD6F55"/>
    <w:rsid w:val="00DE3104"/>
    <w:rsid w:val="00E658E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C56A3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C56A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nimanbm@gmail.com" TargetMode="External"/><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394</Words>
  <Characters>2247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nima</cp:lastModifiedBy>
  <cp:revision>11</cp:revision>
  <dcterms:created xsi:type="dcterms:W3CDTF">2016-08-31T12:37:00Z</dcterms:created>
  <dcterms:modified xsi:type="dcterms:W3CDTF">2017-06-01T19:50:00Z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