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B65" w:rsidRPr="00505A97" w:rsidRDefault="00505A97" w:rsidP="00F1723F">
      <w:pPr>
        <w:spacing w:line="276" w:lineRule="auto"/>
        <w:jc w:val="center"/>
        <w:rPr>
          <w:b/>
          <w:sz w:val="24"/>
          <w:szCs w:val="24"/>
        </w:rPr>
      </w:pPr>
      <w:r w:rsidRPr="00505A97">
        <w:rPr>
          <w:b/>
          <w:sz w:val="24"/>
          <w:szCs w:val="24"/>
        </w:rPr>
        <w:t>P</w:t>
      </w:r>
      <w:r w:rsidR="00966217">
        <w:rPr>
          <w:b/>
          <w:sz w:val="24"/>
          <w:szCs w:val="24"/>
        </w:rPr>
        <w:t>revalence of brucellosis in slaughter animals in Gauteng Province abattoirs, South Africa: Food safety implications</w:t>
      </w:r>
    </w:p>
    <w:p w:rsidR="00E17998" w:rsidRPr="000D424D" w:rsidRDefault="00966217" w:rsidP="00D7439C">
      <w:pPr>
        <w:spacing w:line="276" w:lineRule="auto"/>
        <w:jc w:val="both"/>
        <w:rPr>
          <w:sz w:val="20"/>
          <w:szCs w:val="20"/>
        </w:rPr>
      </w:pPr>
      <w:r w:rsidRPr="000D424D">
        <w:rPr>
          <w:sz w:val="20"/>
          <w:szCs w:val="20"/>
        </w:rPr>
        <w:t>Francis B. Kolo,DVM, M.Sc., Ph.D. candidate</w:t>
      </w:r>
    </w:p>
    <w:p w:rsidR="00E17998" w:rsidRPr="000D424D" w:rsidRDefault="00966217" w:rsidP="00D7439C">
      <w:pPr>
        <w:spacing w:line="276" w:lineRule="auto"/>
        <w:jc w:val="both"/>
        <w:rPr>
          <w:sz w:val="20"/>
          <w:szCs w:val="20"/>
        </w:rPr>
      </w:pPr>
      <w:r w:rsidRPr="000D424D">
        <w:rPr>
          <w:sz w:val="20"/>
          <w:szCs w:val="20"/>
        </w:rPr>
        <w:t>Abiodun A. Adesiyun, DVM, MPH, Ph.D., Department of Production Animal Studies, University of Pretoria, South Africa</w:t>
      </w:r>
    </w:p>
    <w:p w:rsidR="00E17998" w:rsidRPr="000D424D" w:rsidRDefault="00966217" w:rsidP="00D7439C">
      <w:pPr>
        <w:spacing w:line="276" w:lineRule="auto"/>
        <w:jc w:val="both"/>
        <w:rPr>
          <w:sz w:val="20"/>
          <w:szCs w:val="20"/>
        </w:rPr>
      </w:pPr>
      <w:r w:rsidRPr="000D424D">
        <w:rPr>
          <w:sz w:val="20"/>
          <w:szCs w:val="20"/>
        </w:rPr>
        <w:t xml:space="preserve">Charles Katsande, </w:t>
      </w:r>
      <w:r w:rsidR="00D7439C" w:rsidRPr="000D424D">
        <w:rPr>
          <w:sz w:val="20"/>
          <w:szCs w:val="20"/>
        </w:rPr>
        <w:t>BVSc, MVSc</w:t>
      </w:r>
      <w:r w:rsidRPr="000D424D">
        <w:rPr>
          <w:sz w:val="20"/>
          <w:szCs w:val="20"/>
        </w:rPr>
        <w:t>, Gauteng Department of Agriculture and Rural Development</w:t>
      </w:r>
      <w:r w:rsidR="00CB7119">
        <w:rPr>
          <w:sz w:val="20"/>
          <w:szCs w:val="20"/>
        </w:rPr>
        <w:t>, South Africa</w:t>
      </w:r>
    </w:p>
    <w:p w:rsidR="00E17998" w:rsidRPr="000D424D" w:rsidRDefault="00966217" w:rsidP="00D7439C">
      <w:pPr>
        <w:spacing w:line="276" w:lineRule="auto"/>
        <w:jc w:val="both"/>
        <w:rPr>
          <w:sz w:val="20"/>
          <w:szCs w:val="20"/>
        </w:rPr>
      </w:pPr>
      <w:r w:rsidRPr="000D424D">
        <w:rPr>
          <w:sz w:val="20"/>
          <w:szCs w:val="20"/>
        </w:rPr>
        <w:t>Dayo</w:t>
      </w:r>
      <w:r w:rsidR="006D64BF">
        <w:rPr>
          <w:sz w:val="20"/>
          <w:szCs w:val="20"/>
        </w:rPr>
        <w:t xml:space="preserve"> </w:t>
      </w:r>
      <w:r w:rsidRPr="000D424D">
        <w:rPr>
          <w:sz w:val="20"/>
          <w:szCs w:val="20"/>
        </w:rPr>
        <w:t>Fasina, DVM, M.Sc., Ph.D.</w:t>
      </w:r>
      <w:r w:rsidR="00CB7119">
        <w:rPr>
          <w:sz w:val="20"/>
          <w:szCs w:val="20"/>
        </w:rPr>
        <w:t xml:space="preserve">, </w:t>
      </w:r>
      <w:r w:rsidRPr="000D424D">
        <w:rPr>
          <w:sz w:val="20"/>
          <w:szCs w:val="20"/>
        </w:rPr>
        <w:t>Department of Veterinary Tropical Diseases, University of Pretoria, South Africa</w:t>
      </w:r>
    </w:p>
    <w:p w:rsidR="00E17998" w:rsidRPr="000D424D" w:rsidRDefault="00966217" w:rsidP="00D7439C">
      <w:pPr>
        <w:spacing w:line="276" w:lineRule="auto"/>
        <w:jc w:val="both"/>
        <w:rPr>
          <w:sz w:val="20"/>
          <w:szCs w:val="20"/>
        </w:rPr>
      </w:pPr>
      <w:r w:rsidRPr="000D424D">
        <w:rPr>
          <w:sz w:val="20"/>
          <w:szCs w:val="20"/>
        </w:rPr>
        <w:t xml:space="preserve">Henriette Van Heerden, </w:t>
      </w:r>
      <w:r w:rsidR="00C91E6C" w:rsidRPr="000D424D">
        <w:rPr>
          <w:sz w:val="20"/>
          <w:szCs w:val="20"/>
        </w:rPr>
        <w:t>BSc, BSc (Hons), MSc, Ph.D</w:t>
      </w:r>
      <w:r w:rsidR="00CB7119">
        <w:rPr>
          <w:sz w:val="20"/>
          <w:szCs w:val="20"/>
        </w:rPr>
        <w:t>.</w:t>
      </w:r>
      <w:r w:rsidR="000D424D">
        <w:rPr>
          <w:sz w:val="20"/>
          <w:szCs w:val="20"/>
        </w:rPr>
        <w:t xml:space="preserve">, </w:t>
      </w:r>
      <w:r w:rsidRPr="000D424D">
        <w:rPr>
          <w:sz w:val="20"/>
          <w:szCs w:val="20"/>
        </w:rPr>
        <w:t>Department of Veterinary Tropical Diseases, University of Pretoria, South Africa</w:t>
      </w:r>
    </w:p>
    <w:p w:rsidR="00E17998" w:rsidRDefault="00E17998" w:rsidP="00505A97">
      <w:pPr>
        <w:spacing w:line="276" w:lineRule="auto"/>
        <w:rPr>
          <w:sz w:val="24"/>
          <w:szCs w:val="24"/>
        </w:rPr>
        <w:sectPr w:rsidR="00E17998" w:rsidSect="002A4B12">
          <w:pgSz w:w="12240" w:h="15840"/>
          <w:pgMar w:top="1440" w:right="1440" w:bottom="1440" w:left="1440" w:header="720" w:footer="720" w:gutter="0"/>
          <w:cols w:space="720"/>
          <w:docGrid w:linePitch="360"/>
        </w:sectPr>
      </w:pPr>
    </w:p>
    <w:p w:rsidR="005D3EDF" w:rsidRDefault="005D3EDF" w:rsidP="00BF157A">
      <w:pPr>
        <w:spacing w:line="360" w:lineRule="auto"/>
        <w:jc w:val="both"/>
        <w:rPr>
          <w:rFonts w:cstheme="minorHAnsi"/>
          <w:sz w:val="18"/>
          <w:szCs w:val="18"/>
          <w:lang w:val="en-TT"/>
        </w:rPr>
      </w:pPr>
      <w:r>
        <w:rPr>
          <w:rFonts w:cstheme="minorHAnsi"/>
          <w:sz w:val="18"/>
          <w:szCs w:val="18"/>
        </w:rPr>
        <w:lastRenderedPageBreak/>
        <w:t xml:space="preserve">Statement of Problem: </w:t>
      </w:r>
      <w:r w:rsidR="00043B65" w:rsidRPr="002A4B12">
        <w:rPr>
          <w:rFonts w:cstheme="minorHAnsi"/>
          <w:sz w:val="18"/>
          <w:szCs w:val="18"/>
        </w:rPr>
        <w:t xml:space="preserve">Brucellosis is one of the neglected zoonotic diseases, </w:t>
      </w:r>
      <w:r w:rsidR="00043B65" w:rsidRPr="002A4B12">
        <w:rPr>
          <w:rFonts w:cstheme="minorHAnsi"/>
          <w:sz w:val="18"/>
          <w:szCs w:val="18"/>
          <w:lang w:val="en-GB" w:bidi="ar-SA"/>
        </w:rPr>
        <w:t xml:space="preserve">a highly infectious and contagious zoonotic disease of humans, and a wide range of domestic animals. </w:t>
      </w:r>
      <w:r w:rsidR="00043B65" w:rsidRPr="002A4B12">
        <w:rPr>
          <w:rFonts w:cstheme="minorHAnsi"/>
          <w:sz w:val="18"/>
          <w:szCs w:val="18"/>
          <w:lang w:val="en-TT"/>
        </w:rPr>
        <w:t xml:space="preserve">Globally, abattoirs are used for passive and active surveillance of diseases of both economic and public health significance.This research goal was to determine the prevalence of </w:t>
      </w:r>
      <w:r w:rsidR="00043B65" w:rsidRPr="002A4B12">
        <w:rPr>
          <w:rFonts w:cstheme="minorHAnsi"/>
          <w:i/>
          <w:sz w:val="18"/>
          <w:szCs w:val="18"/>
          <w:lang w:val="en-TT"/>
        </w:rPr>
        <w:t xml:space="preserve">Brucella </w:t>
      </w:r>
      <w:r w:rsidR="00043B65" w:rsidRPr="002A4B12">
        <w:rPr>
          <w:rFonts w:cstheme="minorHAnsi"/>
          <w:sz w:val="18"/>
          <w:szCs w:val="18"/>
          <w:lang w:val="en-TT"/>
        </w:rPr>
        <w:t>spp. in slaughter livestock in abatt</w:t>
      </w:r>
      <w:r w:rsidR="00456A68">
        <w:rPr>
          <w:rFonts w:cstheme="minorHAnsi"/>
          <w:sz w:val="18"/>
          <w:szCs w:val="18"/>
          <w:lang w:val="en-TT"/>
        </w:rPr>
        <w:t>oirs in Gauteng Province, and</w:t>
      </w:r>
      <w:r w:rsidR="00505A97">
        <w:rPr>
          <w:rFonts w:cstheme="minorHAnsi"/>
          <w:sz w:val="18"/>
          <w:szCs w:val="18"/>
          <w:lang w:val="en-TT"/>
        </w:rPr>
        <w:t>the risk posed to consumers of</w:t>
      </w:r>
      <w:r w:rsidR="00C8098A">
        <w:rPr>
          <w:rFonts w:cstheme="minorHAnsi"/>
          <w:sz w:val="18"/>
          <w:szCs w:val="18"/>
          <w:lang w:val="en-TT"/>
        </w:rPr>
        <w:t xml:space="preserve"> </w:t>
      </w:r>
      <w:r w:rsidR="00966217" w:rsidRPr="00966217">
        <w:rPr>
          <w:rFonts w:cstheme="minorHAnsi"/>
          <w:i/>
          <w:sz w:val="18"/>
          <w:szCs w:val="18"/>
          <w:lang w:val="en-TT"/>
        </w:rPr>
        <w:t>Brucella</w:t>
      </w:r>
      <w:r>
        <w:rPr>
          <w:rFonts w:cstheme="minorHAnsi"/>
          <w:sz w:val="18"/>
          <w:szCs w:val="18"/>
          <w:lang w:val="en-TT"/>
        </w:rPr>
        <w:t xml:space="preserve">-contaminated meat. Methodology: Eleven livestock abattoirs were included in the study from where </w:t>
      </w:r>
      <w:r w:rsidR="00E80D44">
        <w:rPr>
          <w:rFonts w:cstheme="minorHAnsi"/>
          <w:sz w:val="18"/>
          <w:szCs w:val="18"/>
          <w:lang w:val="en-TT"/>
        </w:rPr>
        <w:t xml:space="preserve">266 serum samples and </w:t>
      </w:r>
      <w:r w:rsidR="00456A68">
        <w:rPr>
          <w:rFonts w:cstheme="minorHAnsi"/>
          <w:sz w:val="18"/>
          <w:szCs w:val="18"/>
          <w:lang w:val="en-TT"/>
        </w:rPr>
        <w:t>798 tissue samples</w:t>
      </w:r>
      <w:r w:rsidR="00313F13">
        <w:rPr>
          <w:rFonts w:cstheme="minorHAnsi"/>
          <w:sz w:val="18"/>
          <w:szCs w:val="18"/>
          <w:lang w:val="en-TT"/>
        </w:rPr>
        <w:t xml:space="preserve">comprising </w:t>
      </w:r>
      <w:r>
        <w:rPr>
          <w:rFonts w:cstheme="minorHAnsi"/>
          <w:sz w:val="18"/>
          <w:szCs w:val="18"/>
          <w:lang w:val="en-TT"/>
        </w:rPr>
        <w:t>lymph nodes</w:t>
      </w:r>
      <w:r w:rsidR="00313F13">
        <w:rPr>
          <w:rFonts w:cstheme="minorHAnsi"/>
          <w:sz w:val="18"/>
          <w:szCs w:val="18"/>
          <w:lang w:val="en-TT"/>
        </w:rPr>
        <w:t>, spleen and liver</w:t>
      </w:r>
      <w:r w:rsidR="00456A68">
        <w:rPr>
          <w:rFonts w:cstheme="minorHAnsi"/>
          <w:sz w:val="18"/>
          <w:szCs w:val="18"/>
          <w:lang w:val="en-TT"/>
        </w:rPr>
        <w:t xml:space="preserve"> were collected from 266 animals</w:t>
      </w:r>
      <w:r>
        <w:rPr>
          <w:rFonts w:cstheme="minorHAnsi"/>
          <w:sz w:val="18"/>
          <w:szCs w:val="18"/>
          <w:lang w:val="en-TT"/>
        </w:rPr>
        <w:t>.</w:t>
      </w:r>
      <w:r w:rsidR="00456A68">
        <w:rPr>
          <w:rFonts w:cstheme="minorHAnsi"/>
          <w:sz w:val="18"/>
          <w:szCs w:val="18"/>
          <w:lang w:val="en-TT"/>
        </w:rPr>
        <w:t xml:space="preserve">An </w:t>
      </w:r>
      <w:r w:rsidR="00313F13" w:rsidRPr="00313F13">
        <w:rPr>
          <w:rFonts w:cstheme="minorHAnsi"/>
          <w:sz w:val="18"/>
          <w:szCs w:val="18"/>
        </w:rPr>
        <w:t>11.5%</w:t>
      </w:r>
      <w:r w:rsidR="00456A68">
        <w:rPr>
          <w:rFonts w:cstheme="minorHAnsi"/>
          <w:sz w:val="18"/>
          <w:szCs w:val="18"/>
        </w:rPr>
        <w:t xml:space="preserve"> and 5% </w:t>
      </w:r>
      <w:r w:rsidR="00313F13" w:rsidRPr="00313F13">
        <w:rPr>
          <w:rFonts w:cstheme="minorHAnsi"/>
          <w:sz w:val="18"/>
          <w:szCs w:val="18"/>
        </w:rPr>
        <w:t>seroprevalance</w:t>
      </w:r>
      <w:r w:rsidR="006D64BF">
        <w:rPr>
          <w:rFonts w:cstheme="minorHAnsi"/>
          <w:sz w:val="18"/>
          <w:szCs w:val="18"/>
        </w:rPr>
        <w:t xml:space="preserve"> </w:t>
      </w:r>
      <w:r w:rsidR="00456A68">
        <w:rPr>
          <w:rFonts w:cstheme="minorHAnsi"/>
          <w:sz w:val="18"/>
          <w:szCs w:val="18"/>
        </w:rPr>
        <w:t>were detected from RBT and iELISA</w:t>
      </w:r>
      <w:r w:rsidR="00C8098A">
        <w:rPr>
          <w:rFonts w:cstheme="minorHAnsi"/>
          <w:sz w:val="18"/>
          <w:szCs w:val="18"/>
        </w:rPr>
        <w:t xml:space="preserve"> </w:t>
      </w:r>
      <w:r w:rsidR="00456A68">
        <w:rPr>
          <w:rFonts w:cstheme="minorHAnsi"/>
          <w:sz w:val="18"/>
          <w:szCs w:val="18"/>
        </w:rPr>
        <w:t xml:space="preserve">respectively </w:t>
      </w:r>
      <w:r w:rsidR="00277371">
        <w:rPr>
          <w:rFonts w:cstheme="minorHAnsi"/>
          <w:sz w:val="18"/>
          <w:szCs w:val="18"/>
        </w:rPr>
        <w:t>from cattle</w:t>
      </w:r>
      <w:r w:rsidR="00313F13" w:rsidRPr="00313F13">
        <w:rPr>
          <w:rFonts w:cstheme="minorHAnsi"/>
          <w:sz w:val="18"/>
          <w:szCs w:val="18"/>
        </w:rPr>
        <w:t>.</w:t>
      </w:r>
      <w:r w:rsidR="00C8098A">
        <w:rPr>
          <w:rFonts w:cstheme="minorHAnsi"/>
          <w:sz w:val="18"/>
          <w:szCs w:val="18"/>
        </w:rPr>
        <w:t xml:space="preserve"> </w:t>
      </w:r>
      <w:r w:rsidR="00277371">
        <w:rPr>
          <w:rFonts w:cstheme="minorHAnsi"/>
          <w:sz w:val="18"/>
          <w:szCs w:val="18"/>
        </w:rPr>
        <w:t>Eighty</w:t>
      </w:r>
      <w:r w:rsidR="00456A68">
        <w:rPr>
          <w:rFonts w:cstheme="minorHAnsi"/>
          <w:sz w:val="18"/>
          <w:szCs w:val="18"/>
        </w:rPr>
        <w:t xml:space="preserve"> nine percent of iELISA positive samples were </w:t>
      </w:r>
      <w:r w:rsidR="00277371">
        <w:rPr>
          <w:rFonts w:cstheme="minorHAnsi"/>
          <w:sz w:val="18"/>
          <w:szCs w:val="18"/>
        </w:rPr>
        <w:t xml:space="preserve">also </w:t>
      </w:r>
      <w:r w:rsidR="002047DE">
        <w:rPr>
          <w:rFonts w:cstheme="minorHAnsi"/>
          <w:sz w:val="18"/>
          <w:szCs w:val="18"/>
        </w:rPr>
        <w:t>tissue-</w:t>
      </w:r>
      <w:r w:rsidR="00456A68">
        <w:rPr>
          <w:rFonts w:cstheme="minorHAnsi"/>
          <w:sz w:val="18"/>
          <w:szCs w:val="18"/>
        </w:rPr>
        <w:t xml:space="preserve">positive for </w:t>
      </w:r>
      <w:r w:rsidR="00E80D44">
        <w:rPr>
          <w:rFonts w:cstheme="minorHAnsi"/>
          <w:i/>
          <w:sz w:val="18"/>
          <w:szCs w:val="18"/>
        </w:rPr>
        <w:t>B</w:t>
      </w:r>
      <w:r w:rsidR="00456A68" w:rsidRPr="00E80D44">
        <w:rPr>
          <w:rFonts w:cstheme="minorHAnsi"/>
          <w:i/>
          <w:sz w:val="18"/>
          <w:szCs w:val="18"/>
        </w:rPr>
        <w:t>rucella</w:t>
      </w:r>
      <w:r w:rsidR="00456A68">
        <w:rPr>
          <w:rFonts w:cstheme="minorHAnsi"/>
          <w:sz w:val="18"/>
          <w:szCs w:val="18"/>
        </w:rPr>
        <w:t xml:space="preserve"> spp. </w:t>
      </w:r>
      <w:r w:rsidR="002047DE">
        <w:rPr>
          <w:rFonts w:cstheme="minorHAnsi"/>
          <w:sz w:val="18"/>
          <w:szCs w:val="18"/>
        </w:rPr>
        <w:t>by</w:t>
      </w:r>
      <w:r w:rsidR="00277371">
        <w:rPr>
          <w:rFonts w:cstheme="minorHAnsi"/>
          <w:sz w:val="18"/>
          <w:szCs w:val="18"/>
        </w:rPr>
        <w:t xml:space="preserve"> PCR.</w:t>
      </w:r>
      <w:r w:rsidR="00277371">
        <w:rPr>
          <w:rFonts w:cstheme="minorHAnsi"/>
          <w:sz w:val="18"/>
          <w:szCs w:val="18"/>
          <w:lang w:val="en-TT"/>
        </w:rPr>
        <w:t xml:space="preserve">The PCR positive samples </w:t>
      </w:r>
      <w:r w:rsidR="002047DE">
        <w:rPr>
          <w:rFonts w:cstheme="minorHAnsi"/>
          <w:sz w:val="18"/>
          <w:szCs w:val="18"/>
          <w:lang w:val="en-TT"/>
        </w:rPr>
        <w:t xml:space="preserve">originated </w:t>
      </w:r>
      <w:r w:rsidR="00277371">
        <w:rPr>
          <w:rFonts w:cstheme="minorHAnsi"/>
          <w:sz w:val="18"/>
          <w:szCs w:val="18"/>
          <w:lang w:val="en-TT"/>
        </w:rPr>
        <w:t xml:space="preserve">from </w:t>
      </w:r>
      <w:r w:rsidR="00203BBD">
        <w:rPr>
          <w:rFonts w:cstheme="minorHAnsi"/>
          <w:sz w:val="18"/>
          <w:szCs w:val="18"/>
          <w:lang w:val="en-TT"/>
        </w:rPr>
        <w:t>54.5% of the</w:t>
      </w:r>
      <w:r w:rsidR="00C8098A">
        <w:rPr>
          <w:rFonts w:cstheme="minorHAnsi"/>
          <w:sz w:val="18"/>
          <w:szCs w:val="18"/>
          <w:lang w:val="en-TT"/>
        </w:rPr>
        <w:t xml:space="preserve"> </w:t>
      </w:r>
      <w:r w:rsidR="00277371" w:rsidRPr="00277371">
        <w:rPr>
          <w:rFonts w:cstheme="minorHAnsi"/>
          <w:sz w:val="18"/>
          <w:szCs w:val="18"/>
          <w:lang w:val="en-TT"/>
        </w:rPr>
        <w:t xml:space="preserve">abattoirs </w:t>
      </w:r>
      <w:r w:rsidR="00277371">
        <w:rPr>
          <w:rFonts w:cstheme="minorHAnsi"/>
          <w:sz w:val="18"/>
          <w:szCs w:val="18"/>
          <w:lang w:val="en-TT"/>
        </w:rPr>
        <w:t xml:space="preserve">visited. </w:t>
      </w:r>
      <w:r>
        <w:rPr>
          <w:rFonts w:cstheme="minorHAnsi"/>
          <w:sz w:val="18"/>
          <w:szCs w:val="18"/>
          <w:lang w:val="en-TT"/>
        </w:rPr>
        <w:t xml:space="preserve">It was concluded that meat from </w:t>
      </w:r>
      <w:r w:rsidR="00E36FEC">
        <w:rPr>
          <w:rFonts w:cstheme="minorHAnsi"/>
          <w:sz w:val="18"/>
          <w:szCs w:val="18"/>
          <w:lang w:val="en-TT"/>
        </w:rPr>
        <w:t xml:space="preserve">slaughtered </w:t>
      </w:r>
      <w:r w:rsidR="00966217" w:rsidRPr="00966217">
        <w:rPr>
          <w:rFonts w:cstheme="minorHAnsi"/>
          <w:i/>
          <w:sz w:val="18"/>
          <w:szCs w:val="18"/>
          <w:lang w:val="en-TT"/>
        </w:rPr>
        <w:t>Brucella</w:t>
      </w:r>
      <w:r w:rsidR="00E36FEC">
        <w:rPr>
          <w:rFonts w:cstheme="minorHAnsi"/>
          <w:sz w:val="18"/>
          <w:szCs w:val="18"/>
          <w:lang w:val="en-TT"/>
        </w:rPr>
        <w:t xml:space="preserve"> spp. infected livestock pose a potential food safety risk to consumers.</w:t>
      </w:r>
    </w:p>
    <w:p w:rsidR="00C8098A" w:rsidRDefault="00C8098A" w:rsidP="00BF157A">
      <w:pPr>
        <w:spacing w:line="360" w:lineRule="auto"/>
        <w:jc w:val="both"/>
        <w:rPr>
          <w:rFonts w:cstheme="minorHAnsi"/>
          <w:sz w:val="18"/>
          <w:szCs w:val="18"/>
          <w:lang w:val="en-TT"/>
        </w:rPr>
      </w:pPr>
    </w:p>
    <w:p w:rsidR="00E36FEC" w:rsidRDefault="00E36FEC" w:rsidP="00BF157A">
      <w:pPr>
        <w:spacing w:line="360" w:lineRule="auto"/>
        <w:jc w:val="both"/>
        <w:rPr>
          <w:rFonts w:cstheme="minorHAnsi"/>
          <w:b/>
          <w:bCs/>
          <w:sz w:val="18"/>
          <w:szCs w:val="18"/>
        </w:rPr>
      </w:pPr>
    </w:p>
    <w:p w:rsidR="002047DE" w:rsidRDefault="00C8098A" w:rsidP="00956BE4">
      <w:pPr>
        <w:spacing w:line="360" w:lineRule="auto"/>
        <w:rPr>
          <w:rFonts w:cstheme="minorHAnsi"/>
          <w:b/>
          <w:bCs/>
          <w:sz w:val="18"/>
          <w:szCs w:val="18"/>
        </w:rPr>
      </w:pPr>
      <w:r w:rsidRPr="00C8098A">
        <w:rPr>
          <w:rFonts w:cstheme="minorHAnsi"/>
          <w:sz w:val="18"/>
          <w:szCs w:val="18"/>
        </w:rPr>
        <w:lastRenderedPageBreak/>
        <w:t>Fig. 1</w:t>
      </w:r>
      <w:r w:rsidR="00956BE4">
        <w:rPr>
          <w:rFonts w:cstheme="minorHAnsi"/>
          <w:sz w:val="18"/>
          <w:szCs w:val="18"/>
        </w:rPr>
        <w:t>Abattoir workers dressing</w:t>
      </w:r>
      <w:r w:rsidRPr="00C8098A">
        <w:rPr>
          <w:rFonts w:cstheme="minorHAnsi"/>
          <w:sz w:val="18"/>
          <w:szCs w:val="18"/>
        </w:rPr>
        <w:t xml:space="preserve"> carcasses at an abattoir in Gauteng Province, South Africa</w:t>
      </w:r>
      <w:r w:rsidR="00956BE4" w:rsidRPr="00956BE4">
        <w:rPr>
          <w:noProof/>
          <w:lang w:bidi="ar-SA"/>
        </w:rPr>
        <w:t xml:space="preserve"> </w:t>
      </w:r>
      <w:r w:rsidR="00956BE4">
        <w:rPr>
          <w:noProof/>
          <w:lang w:bidi="ar-SA"/>
        </w:rPr>
        <w:drawing>
          <wp:inline distT="0" distB="0" distL="0" distR="0">
            <wp:extent cx="2743200" cy="2057132"/>
            <wp:effectExtent l="19050" t="0" r="0" b="0"/>
            <wp:docPr id="5" name="Picture 4" descr="C:\Users\DRFRANGS B. KOLO\Pictures\Chamdor abattoir\P10101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FRANGS B. KOLO\Pictures\Chamdor abattoir\P1010127.JPG"/>
                    <pic:cNvPicPr>
                      <a:picLocks noChangeAspect="1" noChangeArrowheads="1"/>
                    </pic:cNvPicPr>
                  </pic:nvPicPr>
                  <pic:blipFill>
                    <a:blip r:embed="rId5" cstate="print"/>
                    <a:srcRect/>
                    <a:stretch>
                      <a:fillRect/>
                    </a:stretch>
                  </pic:blipFill>
                  <pic:spPr bwMode="auto">
                    <a:xfrm>
                      <a:off x="0" y="0"/>
                      <a:ext cx="2743200" cy="2057132"/>
                    </a:xfrm>
                    <a:prstGeom prst="rect">
                      <a:avLst/>
                    </a:prstGeom>
                    <a:noFill/>
                    <a:ln w="9525">
                      <a:noFill/>
                      <a:miter lim="800000"/>
                      <a:headEnd/>
                      <a:tailEnd/>
                    </a:ln>
                  </pic:spPr>
                </pic:pic>
              </a:graphicData>
            </a:graphic>
          </wp:inline>
        </w:drawing>
      </w:r>
    </w:p>
    <w:p w:rsidR="00043B65" w:rsidRDefault="00E36FEC" w:rsidP="0066487C">
      <w:pPr>
        <w:spacing w:before="0" w:line="240" w:lineRule="auto"/>
        <w:jc w:val="both"/>
        <w:rPr>
          <w:rFonts w:cstheme="minorHAnsi"/>
          <w:b/>
          <w:bCs/>
          <w:sz w:val="18"/>
          <w:szCs w:val="18"/>
        </w:rPr>
      </w:pPr>
      <w:r>
        <w:rPr>
          <w:rFonts w:cstheme="minorHAnsi"/>
          <w:b/>
          <w:bCs/>
          <w:sz w:val="18"/>
          <w:szCs w:val="18"/>
        </w:rPr>
        <w:t xml:space="preserve">Recent publications </w:t>
      </w:r>
    </w:p>
    <w:p w:rsidR="00E36FEC" w:rsidRPr="0097492C" w:rsidRDefault="00E36FEC" w:rsidP="0066487C">
      <w:pPr>
        <w:spacing w:before="0" w:line="240" w:lineRule="auto"/>
        <w:jc w:val="both"/>
        <w:rPr>
          <w:rFonts w:cstheme="minorHAnsi"/>
          <w:b/>
          <w:bCs/>
          <w:sz w:val="18"/>
          <w:szCs w:val="18"/>
        </w:rPr>
      </w:pPr>
    </w:p>
    <w:p w:rsidR="00E80D44" w:rsidRDefault="00806A2C" w:rsidP="00043B65">
      <w:pPr>
        <w:spacing w:before="0" w:line="240" w:lineRule="auto"/>
        <w:jc w:val="both"/>
        <w:rPr>
          <w:rFonts w:cstheme="minorHAnsi"/>
          <w:sz w:val="18"/>
          <w:szCs w:val="18"/>
        </w:rPr>
      </w:pPr>
      <w:r w:rsidRPr="00E80D44">
        <w:rPr>
          <w:rFonts w:cstheme="minorHAnsi"/>
          <w:sz w:val="18"/>
          <w:szCs w:val="18"/>
        </w:rPr>
        <w:t>1</w:t>
      </w:r>
      <w:r>
        <w:rPr>
          <w:rFonts w:cstheme="minorHAnsi"/>
          <w:sz w:val="18"/>
          <w:szCs w:val="18"/>
        </w:rPr>
        <w:t>.</w:t>
      </w:r>
      <w:r w:rsidRPr="00E80D44">
        <w:rPr>
          <w:rFonts w:cstheme="minorHAnsi"/>
          <w:sz w:val="18"/>
          <w:szCs w:val="18"/>
        </w:rPr>
        <w:t xml:space="preserve"> Fekete</w:t>
      </w:r>
      <w:r w:rsidR="00E80D44" w:rsidRPr="00E80D44">
        <w:rPr>
          <w:rFonts w:cstheme="minorHAnsi"/>
          <w:sz w:val="18"/>
          <w:szCs w:val="18"/>
        </w:rPr>
        <w:t xml:space="preserve">, A., Bantle, J.A., Halling, S.M. and Sanborn, M.R., 1990. Preliminary development of a diagnostic test for </w:t>
      </w:r>
      <w:r w:rsidR="000F767D" w:rsidRPr="000F767D">
        <w:rPr>
          <w:rFonts w:cstheme="minorHAnsi"/>
          <w:i/>
          <w:sz w:val="18"/>
          <w:szCs w:val="18"/>
        </w:rPr>
        <w:t xml:space="preserve">Brucella </w:t>
      </w:r>
      <w:r w:rsidR="00E80D44" w:rsidRPr="00E80D44">
        <w:rPr>
          <w:rFonts w:cstheme="minorHAnsi"/>
          <w:sz w:val="18"/>
          <w:szCs w:val="18"/>
        </w:rPr>
        <w:t>using polymerase chain reaction. </w:t>
      </w:r>
      <w:r w:rsidR="00E80D44" w:rsidRPr="00E80D44">
        <w:rPr>
          <w:rFonts w:cstheme="minorHAnsi"/>
          <w:i/>
          <w:iCs/>
          <w:sz w:val="18"/>
          <w:szCs w:val="18"/>
        </w:rPr>
        <w:t>Journal of Applied Bacteriology</w:t>
      </w:r>
      <w:r w:rsidR="00E80D44" w:rsidRPr="00E80D44">
        <w:rPr>
          <w:rFonts w:cstheme="minorHAnsi"/>
          <w:sz w:val="18"/>
          <w:szCs w:val="18"/>
        </w:rPr>
        <w:t>, </w:t>
      </w:r>
      <w:r w:rsidR="00E80D44" w:rsidRPr="00E80D44">
        <w:rPr>
          <w:rFonts w:cstheme="minorHAnsi"/>
          <w:i/>
          <w:iCs/>
          <w:sz w:val="18"/>
          <w:szCs w:val="18"/>
        </w:rPr>
        <w:t>69</w:t>
      </w:r>
      <w:r w:rsidR="00E80D44" w:rsidRPr="00E80D44">
        <w:rPr>
          <w:rFonts w:cstheme="minorHAnsi"/>
          <w:sz w:val="18"/>
          <w:szCs w:val="18"/>
        </w:rPr>
        <w:t>(2), pp.216-227.</w:t>
      </w:r>
    </w:p>
    <w:p w:rsidR="002047DE" w:rsidRPr="00E80D44" w:rsidRDefault="002047DE" w:rsidP="00043B65">
      <w:pPr>
        <w:spacing w:before="0" w:line="240" w:lineRule="auto"/>
        <w:jc w:val="both"/>
        <w:rPr>
          <w:rFonts w:cstheme="minorHAnsi"/>
          <w:sz w:val="18"/>
          <w:szCs w:val="18"/>
        </w:rPr>
      </w:pPr>
    </w:p>
    <w:p w:rsidR="00E80D44" w:rsidRDefault="00806A2C" w:rsidP="0066487C">
      <w:pPr>
        <w:spacing w:before="0" w:line="240" w:lineRule="auto"/>
        <w:jc w:val="both"/>
        <w:rPr>
          <w:rFonts w:cstheme="minorHAnsi"/>
          <w:color w:val="222222"/>
          <w:sz w:val="18"/>
          <w:szCs w:val="18"/>
          <w:shd w:val="clear" w:color="auto" w:fill="FFFFFF"/>
        </w:rPr>
      </w:pPr>
      <w:r w:rsidRPr="00E80D44">
        <w:rPr>
          <w:rFonts w:cstheme="minorHAnsi"/>
          <w:sz w:val="18"/>
          <w:szCs w:val="18"/>
        </w:rPr>
        <w:t>2</w:t>
      </w:r>
      <w:r>
        <w:rPr>
          <w:rFonts w:cstheme="minorHAnsi"/>
          <w:sz w:val="18"/>
          <w:szCs w:val="18"/>
        </w:rPr>
        <w:t>.</w:t>
      </w:r>
      <w:r w:rsidRPr="00E80D44">
        <w:rPr>
          <w:rFonts w:cstheme="minorHAnsi"/>
          <w:color w:val="222222"/>
          <w:sz w:val="18"/>
          <w:szCs w:val="18"/>
          <w:shd w:val="clear" w:color="auto" w:fill="FFFFFF"/>
        </w:rPr>
        <w:t xml:space="preserve"> Yu</w:t>
      </w:r>
      <w:r w:rsidR="00E80D44" w:rsidRPr="00E80D44">
        <w:rPr>
          <w:rFonts w:cstheme="minorHAnsi"/>
          <w:color w:val="222222"/>
          <w:sz w:val="18"/>
          <w:szCs w:val="18"/>
          <w:shd w:val="clear" w:color="auto" w:fill="FFFFFF"/>
        </w:rPr>
        <w:t xml:space="preserve">, W.L. and Nielsen, K., 2010. Review of detection of </w:t>
      </w:r>
      <w:r w:rsidR="000F767D" w:rsidRPr="000F767D">
        <w:rPr>
          <w:rFonts w:cstheme="minorHAnsi"/>
          <w:i/>
          <w:color w:val="222222"/>
          <w:sz w:val="18"/>
          <w:szCs w:val="18"/>
          <w:shd w:val="clear" w:color="auto" w:fill="FFFFFF"/>
        </w:rPr>
        <w:t>Brucella</w:t>
      </w:r>
      <w:r w:rsidR="00E80D44" w:rsidRPr="00E80D44">
        <w:rPr>
          <w:rFonts w:cstheme="minorHAnsi"/>
          <w:color w:val="222222"/>
          <w:sz w:val="18"/>
          <w:szCs w:val="18"/>
          <w:shd w:val="clear" w:color="auto" w:fill="FFFFFF"/>
        </w:rPr>
        <w:t xml:space="preserve"> spp. by polymerase chain reaction.</w:t>
      </w:r>
      <w:r w:rsidR="00E80D44" w:rsidRPr="00E80D44">
        <w:rPr>
          <w:rStyle w:val="apple-converted-space"/>
          <w:rFonts w:cstheme="minorHAnsi"/>
          <w:color w:val="222222"/>
          <w:sz w:val="18"/>
          <w:szCs w:val="18"/>
          <w:shd w:val="clear" w:color="auto" w:fill="FFFFFF"/>
        </w:rPr>
        <w:t> </w:t>
      </w:r>
      <w:r w:rsidR="00E80D44" w:rsidRPr="00E80D44">
        <w:rPr>
          <w:rFonts w:cstheme="minorHAnsi"/>
          <w:i/>
          <w:iCs/>
          <w:color w:val="222222"/>
          <w:sz w:val="18"/>
          <w:szCs w:val="18"/>
          <w:shd w:val="clear" w:color="auto" w:fill="FFFFFF"/>
        </w:rPr>
        <w:t>Croatian medical journal</w:t>
      </w:r>
      <w:r w:rsidR="00E80D44" w:rsidRPr="00E80D44">
        <w:rPr>
          <w:rFonts w:cstheme="minorHAnsi"/>
          <w:color w:val="222222"/>
          <w:sz w:val="18"/>
          <w:szCs w:val="18"/>
          <w:shd w:val="clear" w:color="auto" w:fill="FFFFFF"/>
        </w:rPr>
        <w:t>,</w:t>
      </w:r>
      <w:r w:rsidR="00E80D44" w:rsidRPr="00E80D44">
        <w:rPr>
          <w:rStyle w:val="apple-converted-space"/>
          <w:rFonts w:cstheme="minorHAnsi"/>
          <w:color w:val="222222"/>
          <w:sz w:val="18"/>
          <w:szCs w:val="18"/>
          <w:shd w:val="clear" w:color="auto" w:fill="FFFFFF"/>
        </w:rPr>
        <w:t> </w:t>
      </w:r>
      <w:r w:rsidR="00E80D44" w:rsidRPr="00E80D44">
        <w:rPr>
          <w:rFonts w:cstheme="minorHAnsi"/>
          <w:i/>
          <w:iCs/>
          <w:color w:val="222222"/>
          <w:sz w:val="18"/>
          <w:szCs w:val="18"/>
          <w:shd w:val="clear" w:color="auto" w:fill="FFFFFF"/>
        </w:rPr>
        <w:t>51</w:t>
      </w:r>
      <w:r w:rsidR="00E80D44" w:rsidRPr="00E80D44">
        <w:rPr>
          <w:rFonts w:cstheme="minorHAnsi"/>
          <w:color w:val="222222"/>
          <w:sz w:val="18"/>
          <w:szCs w:val="18"/>
          <w:shd w:val="clear" w:color="auto" w:fill="FFFFFF"/>
        </w:rPr>
        <w:t>(4), pp.306-313.</w:t>
      </w:r>
    </w:p>
    <w:p w:rsidR="002047DE" w:rsidRPr="00E80D44" w:rsidRDefault="002047DE" w:rsidP="0066487C">
      <w:pPr>
        <w:spacing w:before="0" w:line="240" w:lineRule="auto"/>
        <w:jc w:val="both"/>
        <w:rPr>
          <w:rFonts w:cstheme="minorHAnsi"/>
          <w:color w:val="222222"/>
          <w:sz w:val="18"/>
          <w:szCs w:val="18"/>
          <w:shd w:val="clear" w:color="auto" w:fill="FFFFFF"/>
        </w:rPr>
      </w:pPr>
    </w:p>
    <w:p w:rsidR="00043B65" w:rsidRDefault="00043B65" w:rsidP="0066487C">
      <w:pPr>
        <w:spacing w:before="0" w:line="240" w:lineRule="auto"/>
        <w:jc w:val="both"/>
        <w:rPr>
          <w:rFonts w:cstheme="minorHAnsi"/>
          <w:sz w:val="18"/>
          <w:szCs w:val="18"/>
        </w:rPr>
      </w:pPr>
      <w:r w:rsidRPr="00E80D44">
        <w:rPr>
          <w:rFonts w:cstheme="minorHAnsi"/>
          <w:sz w:val="18"/>
          <w:szCs w:val="18"/>
        </w:rPr>
        <w:t>3</w:t>
      </w:r>
      <w:r w:rsidR="002047DE">
        <w:rPr>
          <w:rFonts w:cstheme="minorHAnsi"/>
          <w:sz w:val="18"/>
          <w:szCs w:val="18"/>
        </w:rPr>
        <w:t>.</w:t>
      </w:r>
      <w:r w:rsidRPr="00E80D44">
        <w:rPr>
          <w:rFonts w:cstheme="minorHAnsi"/>
          <w:sz w:val="18"/>
          <w:szCs w:val="18"/>
        </w:rPr>
        <w:t xml:space="preserve"> Love, S. 2010. Zoonoses–animal diseases transmissible to humans. </w:t>
      </w:r>
      <w:r w:rsidRPr="00E80D44">
        <w:rPr>
          <w:rFonts w:cstheme="minorHAnsi"/>
          <w:i/>
          <w:sz w:val="18"/>
          <w:szCs w:val="18"/>
        </w:rPr>
        <w:t>Primary Industries &amp; Biosecurity</w:t>
      </w:r>
      <w:r w:rsidRPr="00E80D44">
        <w:rPr>
          <w:rFonts w:cstheme="minorHAnsi"/>
          <w:b/>
          <w:sz w:val="18"/>
          <w:szCs w:val="18"/>
        </w:rPr>
        <w:t>,</w:t>
      </w:r>
      <w:r w:rsidRPr="00E80D44">
        <w:rPr>
          <w:rFonts w:cstheme="minorHAnsi"/>
          <w:sz w:val="18"/>
          <w:szCs w:val="18"/>
        </w:rPr>
        <w:t xml:space="preserve"> 1-8.</w:t>
      </w:r>
    </w:p>
    <w:p w:rsidR="002047DE" w:rsidRPr="00E80D44" w:rsidRDefault="002047DE" w:rsidP="0066487C">
      <w:pPr>
        <w:spacing w:before="0" w:line="240" w:lineRule="auto"/>
        <w:jc w:val="both"/>
        <w:rPr>
          <w:rFonts w:cstheme="minorHAnsi"/>
          <w:sz w:val="18"/>
          <w:szCs w:val="18"/>
        </w:rPr>
      </w:pPr>
    </w:p>
    <w:p w:rsidR="00043B65" w:rsidRDefault="00806A2C" w:rsidP="0066487C">
      <w:pPr>
        <w:spacing w:before="0" w:line="240" w:lineRule="auto"/>
        <w:jc w:val="both"/>
        <w:rPr>
          <w:rFonts w:cstheme="minorHAnsi"/>
          <w:sz w:val="18"/>
          <w:szCs w:val="18"/>
        </w:rPr>
      </w:pPr>
      <w:r w:rsidRPr="00E80D44">
        <w:rPr>
          <w:rFonts w:cstheme="minorHAnsi"/>
          <w:sz w:val="18"/>
          <w:szCs w:val="18"/>
        </w:rPr>
        <w:t>4</w:t>
      </w:r>
      <w:r>
        <w:rPr>
          <w:rFonts w:cstheme="minorHAnsi"/>
          <w:sz w:val="18"/>
          <w:szCs w:val="18"/>
        </w:rPr>
        <w:t>.</w:t>
      </w:r>
      <w:r w:rsidRPr="00E80D44">
        <w:rPr>
          <w:rFonts w:cstheme="minorHAnsi"/>
          <w:sz w:val="18"/>
          <w:szCs w:val="18"/>
        </w:rPr>
        <w:t xml:space="preserve"> O’Leary</w:t>
      </w:r>
      <w:r w:rsidR="00E80D44" w:rsidRPr="00E80D44">
        <w:rPr>
          <w:rFonts w:cstheme="minorHAnsi"/>
          <w:sz w:val="18"/>
          <w:szCs w:val="18"/>
        </w:rPr>
        <w:t xml:space="preserve">, S., Sheahan, M. and Sweeney, T., 2006. </w:t>
      </w:r>
      <w:r w:rsidR="000F767D" w:rsidRPr="000F767D">
        <w:rPr>
          <w:rFonts w:cstheme="minorHAnsi"/>
          <w:i/>
          <w:sz w:val="18"/>
          <w:szCs w:val="18"/>
        </w:rPr>
        <w:t>Brucella abortus</w:t>
      </w:r>
      <w:r w:rsidR="00E80D44" w:rsidRPr="00E80D44">
        <w:rPr>
          <w:rFonts w:cstheme="minorHAnsi"/>
          <w:sz w:val="18"/>
          <w:szCs w:val="18"/>
        </w:rPr>
        <w:t xml:space="preserve"> detection by PCR assay in blood, milk and lymph tissue of serologically positive cows. </w:t>
      </w:r>
      <w:r w:rsidR="00E80D44" w:rsidRPr="00E80D44">
        <w:rPr>
          <w:rFonts w:cstheme="minorHAnsi"/>
          <w:i/>
          <w:iCs/>
          <w:sz w:val="18"/>
          <w:szCs w:val="18"/>
        </w:rPr>
        <w:t>Research in veterinary science</w:t>
      </w:r>
      <w:r w:rsidR="00E80D44" w:rsidRPr="00E80D44">
        <w:rPr>
          <w:rFonts w:cstheme="minorHAnsi"/>
          <w:sz w:val="18"/>
          <w:szCs w:val="18"/>
        </w:rPr>
        <w:t>, </w:t>
      </w:r>
      <w:r w:rsidR="00E80D44" w:rsidRPr="00E80D44">
        <w:rPr>
          <w:rFonts w:cstheme="minorHAnsi"/>
          <w:i/>
          <w:iCs/>
          <w:sz w:val="18"/>
          <w:szCs w:val="18"/>
        </w:rPr>
        <w:t>81</w:t>
      </w:r>
      <w:r w:rsidR="00E80D44" w:rsidRPr="00E80D44">
        <w:rPr>
          <w:rFonts w:cstheme="minorHAnsi"/>
          <w:sz w:val="18"/>
          <w:szCs w:val="18"/>
        </w:rPr>
        <w:t>(2), pp.170-176.</w:t>
      </w:r>
    </w:p>
    <w:p w:rsidR="002047DE" w:rsidRPr="00E80D44" w:rsidRDefault="002047DE" w:rsidP="0066487C">
      <w:pPr>
        <w:spacing w:before="0" w:line="240" w:lineRule="auto"/>
        <w:jc w:val="both"/>
        <w:rPr>
          <w:rFonts w:cstheme="minorHAnsi"/>
          <w:sz w:val="18"/>
          <w:szCs w:val="18"/>
        </w:rPr>
      </w:pPr>
    </w:p>
    <w:p w:rsidR="000D424D" w:rsidRPr="00E80D44" w:rsidRDefault="00043B65" w:rsidP="00E80D44">
      <w:pPr>
        <w:spacing w:before="0" w:line="240" w:lineRule="auto"/>
        <w:contextualSpacing/>
        <w:rPr>
          <w:rFonts w:cstheme="minorHAnsi"/>
          <w:sz w:val="16"/>
          <w:szCs w:val="16"/>
        </w:rPr>
        <w:sectPr w:rsidR="000D424D" w:rsidRPr="00E80D44" w:rsidSect="008B521F">
          <w:type w:val="continuous"/>
          <w:pgSz w:w="12240" w:h="15840"/>
          <w:pgMar w:top="1440" w:right="1440" w:bottom="540" w:left="1440" w:header="720" w:footer="720" w:gutter="0"/>
          <w:cols w:num="2" w:space="720"/>
          <w:docGrid w:linePitch="360"/>
        </w:sectPr>
      </w:pPr>
      <w:r w:rsidRPr="00E80D44">
        <w:rPr>
          <w:rFonts w:cstheme="minorHAnsi"/>
          <w:sz w:val="18"/>
          <w:szCs w:val="18"/>
        </w:rPr>
        <w:t>5</w:t>
      </w:r>
      <w:r w:rsidR="002047DE">
        <w:rPr>
          <w:rFonts w:cstheme="minorHAnsi"/>
          <w:sz w:val="18"/>
          <w:szCs w:val="18"/>
        </w:rPr>
        <w:t>.</w:t>
      </w:r>
      <w:r w:rsidRPr="00E80D44">
        <w:rPr>
          <w:rFonts w:cstheme="minorHAnsi"/>
          <w:sz w:val="18"/>
          <w:szCs w:val="18"/>
        </w:rPr>
        <w:t xml:space="preserve"> Taylor, L. H., Latham, S. M. &amp; Mark, E. 2001. Risk fa</w:t>
      </w:r>
      <w:bookmarkStart w:id="0" w:name="_GoBack"/>
      <w:bookmarkEnd w:id="0"/>
      <w:r w:rsidRPr="00E80D44">
        <w:rPr>
          <w:rFonts w:cstheme="minorHAnsi"/>
          <w:sz w:val="18"/>
          <w:szCs w:val="18"/>
        </w:rPr>
        <w:t xml:space="preserve">ctors for human disease emergence. </w:t>
      </w:r>
      <w:r w:rsidRPr="00E80D44">
        <w:rPr>
          <w:rFonts w:cstheme="minorHAnsi"/>
          <w:i/>
          <w:sz w:val="18"/>
          <w:szCs w:val="18"/>
        </w:rPr>
        <w:t>Philosophical Transactions of the Royal Society of London B: Biological Sciences,</w:t>
      </w:r>
      <w:r w:rsidRPr="00E80D44">
        <w:rPr>
          <w:rFonts w:cstheme="minorHAnsi"/>
          <w:sz w:val="18"/>
          <w:szCs w:val="18"/>
        </w:rPr>
        <w:t xml:space="preserve"> 356</w:t>
      </w:r>
      <w:r w:rsidRPr="00E80D44">
        <w:rPr>
          <w:rFonts w:cstheme="minorHAnsi"/>
          <w:b/>
          <w:sz w:val="18"/>
          <w:szCs w:val="18"/>
        </w:rPr>
        <w:t>,</w:t>
      </w:r>
      <w:r w:rsidRPr="00E80D44">
        <w:rPr>
          <w:rFonts w:cstheme="minorHAnsi"/>
          <w:sz w:val="18"/>
          <w:szCs w:val="18"/>
        </w:rPr>
        <w:t xml:space="preserve"> 983-989</w:t>
      </w:r>
    </w:p>
    <w:p w:rsidR="00C8098A" w:rsidRDefault="00C8098A" w:rsidP="00043B65">
      <w:pPr>
        <w:spacing w:before="0" w:line="240" w:lineRule="auto"/>
        <w:contextualSpacing/>
        <w:jc w:val="both"/>
        <w:rPr>
          <w:sz w:val="16"/>
          <w:szCs w:val="16"/>
        </w:rPr>
      </w:pPr>
    </w:p>
    <w:p w:rsidR="00C8098A" w:rsidRPr="00C8098A" w:rsidRDefault="00C8098A" w:rsidP="00C8098A">
      <w:pPr>
        <w:spacing w:before="0" w:line="240" w:lineRule="auto"/>
        <w:contextualSpacing/>
        <w:jc w:val="both"/>
        <w:rPr>
          <w:b/>
          <w:sz w:val="16"/>
          <w:szCs w:val="16"/>
        </w:rPr>
      </w:pPr>
      <w:r w:rsidRPr="00C8098A">
        <w:rPr>
          <w:sz w:val="16"/>
          <w:szCs w:val="16"/>
        </w:rPr>
        <w:lastRenderedPageBreak/>
        <w:drawing>
          <wp:inline distT="0" distB="0" distL="0" distR="0">
            <wp:extent cx="820287" cy="975815"/>
            <wp:effectExtent l="19050" t="0" r="0" b="0"/>
            <wp:docPr id="3" name="Picture 1" descr="Image result for francis k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rancis kolo"/>
                    <pic:cNvPicPr>
                      <a:picLocks noChangeAspect="1" noChangeArrowheads="1"/>
                    </pic:cNvPicPr>
                  </pic:nvPicPr>
                  <pic:blipFill>
                    <a:blip r:embed="rId6"/>
                    <a:srcRect/>
                    <a:stretch>
                      <a:fillRect/>
                    </a:stretch>
                  </pic:blipFill>
                  <pic:spPr bwMode="auto">
                    <a:xfrm>
                      <a:off x="0" y="0"/>
                      <a:ext cx="820941" cy="976593"/>
                    </a:xfrm>
                    <a:prstGeom prst="rect">
                      <a:avLst/>
                    </a:prstGeom>
                    <a:noFill/>
                    <a:ln w="9525">
                      <a:noFill/>
                      <a:miter lim="800000"/>
                      <a:headEnd/>
                      <a:tailEnd/>
                    </a:ln>
                  </pic:spPr>
                </pic:pic>
              </a:graphicData>
            </a:graphic>
          </wp:inline>
        </w:drawing>
      </w:r>
      <w:r w:rsidR="00956BE4">
        <w:rPr>
          <w:b/>
          <w:sz w:val="16"/>
          <w:szCs w:val="16"/>
        </w:rPr>
        <w:t xml:space="preserve"> </w:t>
      </w:r>
      <w:r w:rsidRPr="00C8098A">
        <w:rPr>
          <w:b/>
          <w:sz w:val="16"/>
          <w:szCs w:val="16"/>
        </w:rPr>
        <w:t>Biography</w:t>
      </w:r>
    </w:p>
    <w:p w:rsidR="00C8098A" w:rsidRDefault="00C8098A" w:rsidP="00043B65">
      <w:pPr>
        <w:spacing w:before="0" w:line="240" w:lineRule="auto"/>
        <w:contextualSpacing/>
        <w:jc w:val="both"/>
        <w:rPr>
          <w:sz w:val="16"/>
          <w:szCs w:val="16"/>
        </w:rPr>
      </w:pPr>
    </w:p>
    <w:p w:rsidR="006203B4" w:rsidRDefault="00B6207B" w:rsidP="00043B65">
      <w:pPr>
        <w:spacing w:before="0" w:line="240" w:lineRule="auto"/>
        <w:contextualSpacing/>
        <w:jc w:val="both"/>
        <w:rPr>
          <w:sz w:val="16"/>
          <w:szCs w:val="16"/>
        </w:rPr>
      </w:pPr>
      <w:r>
        <w:rPr>
          <w:sz w:val="16"/>
          <w:szCs w:val="16"/>
        </w:rPr>
        <w:t xml:space="preserve">Francis Kolo </w:t>
      </w:r>
      <w:r w:rsidR="00E80D44">
        <w:rPr>
          <w:sz w:val="16"/>
          <w:szCs w:val="16"/>
        </w:rPr>
        <w:t xml:space="preserve">has </w:t>
      </w:r>
      <w:r w:rsidR="00E80D44" w:rsidRPr="000D424D">
        <w:rPr>
          <w:sz w:val="16"/>
          <w:szCs w:val="16"/>
        </w:rPr>
        <w:t>a</w:t>
      </w:r>
      <w:r w:rsidR="000D424D" w:rsidRPr="000D424D">
        <w:rPr>
          <w:sz w:val="16"/>
          <w:szCs w:val="16"/>
        </w:rPr>
        <w:t xml:space="preserve"> degree of Doctor of Veterinary Medicine. He worked as a veterinary officer in Nigeria. He started working as a Veterinary officer in 2004, and was primarily responsible for the diagnosis and treatment of different animal diseases. He facilitated sensitization lectures sponsored by UNICEF to human healthcare practitioners in various local government councils in Niger State, Nigeria on biosecurity. He obtained a MSc. Veterinary Science from the University of Pretoria in December 2015 cum laude. His Masters research was focused on dog population demographics, as it relates to herd immunity in the control of rabies in dog and human populations, in the Mnisi community area, in rural South Africa which shares land borders with the Kruger National Park, and was nestled in the heart of a human/wildlife/domestic animal interface. Currently registered for a PhD in the same University and his research is focused on brucellosis in abattoirs</w:t>
      </w:r>
      <w:r w:rsidR="00956BE4">
        <w:rPr>
          <w:sz w:val="16"/>
          <w:szCs w:val="16"/>
        </w:rPr>
        <w:t xml:space="preserve"> and in abattoir workers</w:t>
      </w:r>
      <w:r w:rsidR="008B521F">
        <w:rPr>
          <w:sz w:val="16"/>
          <w:szCs w:val="16"/>
        </w:rPr>
        <w:t xml:space="preserve">. </w:t>
      </w:r>
    </w:p>
    <w:p w:rsidR="00205FA4" w:rsidRDefault="008B521F" w:rsidP="00956BE4">
      <w:pPr>
        <w:spacing w:before="0" w:line="240" w:lineRule="auto"/>
        <w:contextualSpacing/>
        <w:jc w:val="center"/>
        <w:rPr>
          <w:rFonts w:cstheme="minorHAnsi"/>
          <w:b/>
          <w:sz w:val="18"/>
          <w:szCs w:val="18"/>
        </w:rPr>
      </w:pPr>
      <w:r w:rsidRPr="006203B4">
        <w:rPr>
          <w:b/>
          <w:color w:val="00B0F0"/>
          <w:sz w:val="16"/>
          <w:szCs w:val="16"/>
        </w:rPr>
        <w:t>kolofrancis@hotmail.com</w:t>
      </w:r>
    </w:p>
    <w:sectPr w:rsidR="00205FA4" w:rsidSect="008B521F">
      <w:type w:val="continuous"/>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744EA"/>
    <w:multiLevelType w:val="hybridMultilevel"/>
    <w:tmpl w:val="84C01C8A"/>
    <w:lvl w:ilvl="0" w:tplc="2BB0695C">
      <w:start w:val="1"/>
      <w:numFmt w:val="lowerRoman"/>
      <w:lvlText w:val="%1."/>
      <w:lvlJc w:val="left"/>
      <w:pPr>
        <w:ind w:left="1440" w:hanging="720"/>
      </w:pPr>
      <w:rPr>
        <w:rFonts w:hint="default"/>
      </w:rPr>
    </w:lvl>
    <w:lvl w:ilvl="1" w:tplc="2C090019" w:tentative="1">
      <w:start w:val="1"/>
      <w:numFmt w:val="lowerLetter"/>
      <w:lvlText w:val="%2."/>
      <w:lvlJc w:val="left"/>
      <w:pPr>
        <w:ind w:left="1800" w:hanging="360"/>
      </w:pPr>
    </w:lvl>
    <w:lvl w:ilvl="2" w:tplc="2C09001B" w:tentative="1">
      <w:start w:val="1"/>
      <w:numFmt w:val="lowerRoman"/>
      <w:lvlText w:val="%3."/>
      <w:lvlJc w:val="right"/>
      <w:pPr>
        <w:ind w:left="2520" w:hanging="180"/>
      </w:pPr>
    </w:lvl>
    <w:lvl w:ilvl="3" w:tplc="2C09000F" w:tentative="1">
      <w:start w:val="1"/>
      <w:numFmt w:val="decimal"/>
      <w:lvlText w:val="%4."/>
      <w:lvlJc w:val="left"/>
      <w:pPr>
        <w:ind w:left="3240" w:hanging="360"/>
      </w:pPr>
    </w:lvl>
    <w:lvl w:ilvl="4" w:tplc="2C090019" w:tentative="1">
      <w:start w:val="1"/>
      <w:numFmt w:val="lowerLetter"/>
      <w:lvlText w:val="%5."/>
      <w:lvlJc w:val="left"/>
      <w:pPr>
        <w:ind w:left="3960" w:hanging="360"/>
      </w:pPr>
    </w:lvl>
    <w:lvl w:ilvl="5" w:tplc="2C09001B" w:tentative="1">
      <w:start w:val="1"/>
      <w:numFmt w:val="lowerRoman"/>
      <w:lvlText w:val="%6."/>
      <w:lvlJc w:val="right"/>
      <w:pPr>
        <w:ind w:left="4680" w:hanging="180"/>
      </w:pPr>
    </w:lvl>
    <w:lvl w:ilvl="6" w:tplc="2C09000F" w:tentative="1">
      <w:start w:val="1"/>
      <w:numFmt w:val="decimal"/>
      <w:lvlText w:val="%7."/>
      <w:lvlJc w:val="left"/>
      <w:pPr>
        <w:ind w:left="5400" w:hanging="360"/>
      </w:pPr>
    </w:lvl>
    <w:lvl w:ilvl="7" w:tplc="2C090019" w:tentative="1">
      <w:start w:val="1"/>
      <w:numFmt w:val="lowerLetter"/>
      <w:lvlText w:val="%8."/>
      <w:lvlJc w:val="left"/>
      <w:pPr>
        <w:ind w:left="6120" w:hanging="360"/>
      </w:pPr>
    </w:lvl>
    <w:lvl w:ilvl="8" w:tplc="2C09001B" w:tentative="1">
      <w:start w:val="1"/>
      <w:numFmt w:val="lowerRoman"/>
      <w:lvlText w:val="%9."/>
      <w:lvlJc w:val="right"/>
      <w:pPr>
        <w:ind w:left="6840" w:hanging="18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biodun Adesiyun">
    <w15:presenceInfo w15:providerId="AD" w15:userId="S-1-5-21-1085031214-492894223-682003330-1375"/>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docVars>
    <w:docVar w:name="EN.InstantFormat" w:val="&lt;ENInstantFormat&gt;&lt;Enabled&gt;1&lt;/Enabled&gt;&lt;ScanUnformatted&gt;1&lt;/ScanUnformatted&gt;&lt;ScanChanges&gt;1&lt;/ScanChanges&gt;&lt;Suspended&gt;1&lt;/Suspended&gt;&lt;/ENInstantFormat&gt;"/>
  </w:docVars>
  <w:rsids>
    <w:rsidRoot w:val="00043B65"/>
    <w:rsid w:val="00043B65"/>
    <w:rsid w:val="000D424D"/>
    <w:rsid w:val="000F767D"/>
    <w:rsid w:val="00101E2E"/>
    <w:rsid w:val="00203BBD"/>
    <w:rsid w:val="002047DE"/>
    <w:rsid w:val="00205FA4"/>
    <w:rsid w:val="00277371"/>
    <w:rsid w:val="00313F13"/>
    <w:rsid w:val="003C7CEE"/>
    <w:rsid w:val="00456A68"/>
    <w:rsid w:val="00505A97"/>
    <w:rsid w:val="00510E58"/>
    <w:rsid w:val="00530D88"/>
    <w:rsid w:val="0059071C"/>
    <w:rsid w:val="005C1ADD"/>
    <w:rsid w:val="005D3EDF"/>
    <w:rsid w:val="006203B4"/>
    <w:rsid w:val="006D64BF"/>
    <w:rsid w:val="007814C0"/>
    <w:rsid w:val="00806A2C"/>
    <w:rsid w:val="008B521F"/>
    <w:rsid w:val="008D7D6F"/>
    <w:rsid w:val="0090411F"/>
    <w:rsid w:val="00956BE4"/>
    <w:rsid w:val="00966217"/>
    <w:rsid w:val="0097617E"/>
    <w:rsid w:val="009F3D60"/>
    <w:rsid w:val="00B6207B"/>
    <w:rsid w:val="00C8098A"/>
    <w:rsid w:val="00C91E6C"/>
    <w:rsid w:val="00CB7119"/>
    <w:rsid w:val="00CC10D5"/>
    <w:rsid w:val="00D51A50"/>
    <w:rsid w:val="00D55CF4"/>
    <w:rsid w:val="00D7439C"/>
    <w:rsid w:val="00E17998"/>
    <w:rsid w:val="00E36FEC"/>
    <w:rsid w:val="00E80D44"/>
    <w:rsid w:val="00F567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spacing w:before="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B65"/>
  </w:style>
  <w:style w:type="paragraph" w:styleId="Heading1">
    <w:name w:val="heading 1"/>
    <w:basedOn w:val="Normal"/>
    <w:next w:val="Normal"/>
    <w:link w:val="Heading1Char"/>
    <w:uiPriority w:val="9"/>
    <w:qFormat/>
    <w:rsid w:val="00043B65"/>
    <w:pPr>
      <w:spacing w:before="48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043B65"/>
    <w:pPr>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043B65"/>
    <w:pPr>
      <w:spacing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043B65"/>
    <w:pPr>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043B65"/>
    <w:pPr>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043B65"/>
    <w:pPr>
      <w:spacing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043B65"/>
    <w:pPr>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043B65"/>
    <w:pPr>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043B65"/>
    <w:pPr>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3B65"/>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rsid w:val="00043B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043B65"/>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043B65"/>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043B65"/>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043B65"/>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043B65"/>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043B65"/>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043B65"/>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043B65"/>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043B6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043B65"/>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043B65"/>
    <w:rPr>
      <w:rFonts w:asciiTheme="majorHAnsi" w:eastAsiaTheme="majorEastAsia" w:hAnsiTheme="majorHAnsi" w:cstheme="majorBidi"/>
      <w:i/>
      <w:iCs/>
      <w:spacing w:val="13"/>
      <w:sz w:val="24"/>
      <w:szCs w:val="24"/>
    </w:rPr>
  </w:style>
  <w:style w:type="character" w:styleId="Strong">
    <w:name w:val="Strong"/>
    <w:uiPriority w:val="22"/>
    <w:qFormat/>
    <w:rsid w:val="00043B65"/>
    <w:rPr>
      <w:b/>
      <w:bCs/>
    </w:rPr>
  </w:style>
  <w:style w:type="character" w:styleId="Emphasis">
    <w:name w:val="Emphasis"/>
    <w:uiPriority w:val="20"/>
    <w:qFormat/>
    <w:rsid w:val="00043B65"/>
    <w:rPr>
      <w:b/>
      <w:bCs/>
      <w:i/>
      <w:iCs/>
      <w:spacing w:val="10"/>
      <w:bdr w:val="none" w:sz="0" w:space="0" w:color="auto"/>
      <w:shd w:val="clear" w:color="auto" w:fill="auto"/>
    </w:rPr>
  </w:style>
  <w:style w:type="paragraph" w:styleId="NoSpacing">
    <w:name w:val="No Spacing"/>
    <w:basedOn w:val="Normal"/>
    <w:uiPriority w:val="1"/>
    <w:qFormat/>
    <w:rsid w:val="00043B65"/>
    <w:pPr>
      <w:spacing w:line="240" w:lineRule="auto"/>
    </w:pPr>
  </w:style>
  <w:style w:type="paragraph" w:styleId="ListParagraph">
    <w:name w:val="List Paragraph"/>
    <w:basedOn w:val="Normal"/>
    <w:uiPriority w:val="34"/>
    <w:qFormat/>
    <w:rsid w:val="00043B65"/>
    <w:pPr>
      <w:ind w:left="720"/>
      <w:contextualSpacing/>
    </w:pPr>
  </w:style>
  <w:style w:type="paragraph" w:styleId="Quote">
    <w:name w:val="Quote"/>
    <w:basedOn w:val="Normal"/>
    <w:next w:val="Normal"/>
    <w:link w:val="QuoteChar"/>
    <w:uiPriority w:val="29"/>
    <w:qFormat/>
    <w:rsid w:val="00043B65"/>
    <w:pPr>
      <w:ind w:left="360" w:right="360"/>
    </w:pPr>
    <w:rPr>
      <w:i/>
      <w:iCs/>
    </w:rPr>
  </w:style>
  <w:style w:type="character" w:customStyle="1" w:styleId="QuoteChar">
    <w:name w:val="Quote Char"/>
    <w:basedOn w:val="DefaultParagraphFont"/>
    <w:link w:val="Quote"/>
    <w:uiPriority w:val="29"/>
    <w:rsid w:val="00043B65"/>
    <w:rPr>
      <w:i/>
      <w:iCs/>
    </w:rPr>
  </w:style>
  <w:style w:type="paragraph" w:styleId="IntenseQuote">
    <w:name w:val="Intense Quote"/>
    <w:basedOn w:val="Normal"/>
    <w:next w:val="Normal"/>
    <w:link w:val="IntenseQuoteChar"/>
    <w:uiPriority w:val="30"/>
    <w:qFormat/>
    <w:rsid w:val="00043B65"/>
    <w:pPr>
      <w:pBdr>
        <w:bottom w:val="single" w:sz="4" w:space="1" w:color="auto"/>
      </w:pBdr>
      <w:spacing w:after="280"/>
      <w:ind w:left="1008" w:right="1152"/>
      <w:jc w:val="both"/>
    </w:pPr>
    <w:rPr>
      <w:b/>
      <w:bCs/>
      <w:i/>
      <w:iCs/>
    </w:rPr>
  </w:style>
  <w:style w:type="character" w:customStyle="1" w:styleId="IntenseQuoteChar">
    <w:name w:val="Intense Quote Char"/>
    <w:basedOn w:val="DefaultParagraphFont"/>
    <w:link w:val="IntenseQuote"/>
    <w:uiPriority w:val="30"/>
    <w:rsid w:val="00043B65"/>
    <w:rPr>
      <w:b/>
      <w:bCs/>
      <w:i/>
      <w:iCs/>
    </w:rPr>
  </w:style>
  <w:style w:type="character" w:styleId="SubtleEmphasis">
    <w:name w:val="Subtle Emphasis"/>
    <w:uiPriority w:val="19"/>
    <w:qFormat/>
    <w:rsid w:val="00043B65"/>
    <w:rPr>
      <w:i/>
      <w:iCs/>
    </w:rPr>
  </w:style>
  <w:style w:type="character" w:styleId="IntenseEmphasis">
    <w:name w:val="Intense Emphasis"/>
    <w:uiPriority w:val="21"/>
    <w:qFormat/>
    <w:rsid w:val="00043B65"/>
    <w:rPr>
      <w:b/>
      <w:bCs/>
    </w:rPr>
  </w:style>
  <w:style w:type="character" w:styleId="SubtleReference">
    <w:name w:val="Subtle Reference"/>
    <w:uiPriority w:val="31"/>
    <w:qFormat/>
    <w:rsid w:val="00043B65"/>
    <w:rPr>
      <w:smallCaps/>
    </w:rPr>
  </w:style>
  <w:style w:type="character" w:styleId="IntenseReference">
    <w:name w:val="Intense Reference"/>
    <w:uiPriority w:val="32"/>
    <w:qFormat/>
    <w:rsid w:val="00043B65"/>
    <w:rPr>
      <w:smallCaps/>
      <w:spacing w:val="5"/>
      <w:u w:val="single"/>
    </w:rPr>
  </w:style>
  <w:style w:type="character" w:styleId="BookTitle">
    <w:name w:val="Book Title"/>
    <w:uiPriority w:val="33"/>
    <w:qFormat/>
    <w:rsid w:val="00043B65"/>
    <w:rPr>
      <w:i/>
      <w:iCs/>
      <w:smallCaps/>
      <w:spacing w:val="5"/>
    </w:rPr>
  </w:style>
  <w:style w:type="paragraph" w:styleId="TOCHeading">
    <w:name w:val="TOC Heading"/>
    <w:basedOn w:val="Heading1"/>
    <w:next w:val="Normal"/>
    <w:uiPriority w:val="39"/>
    <w:semiHidden/>
    <w:unhideWhenUsed/>
    <w:qFormat/>
    <w:rsid w:val="00043B65"/>
    <w:pPr>
      <w:outlineLvl w:val="9"/>
    </w:pPr>
  </w:style>
  <w:style w:type="paragraph" w:customStyle="1" w:styleId="Heading20">
    <w:name w:val="Heading2"/>
    <w:basedOn w:val="Normal"/>
    <w:link w:val="Heading2Char0"/>
    <w:qFormat/>
    <w:rsid w:val="00043B65"/>
    <w:pPr>
      <w:outlineLvl w:val="1"/>
    </w:pPr>
    <w:rPr>
      <w:rFonts w:ascii="Arial" w:eastAsiaTheme="majorEastAsia" w:hAnsi="Arial" w:cs="Arial"/>
      <w:b/>
      <w:bCs/>
      <w:sz w:val="26"/>
      <w:szCs w:val="26"/>
    </w:rPr>
  </w:style>
  <w:style w:type="character" w:customStyle="1" w:styleId="Heading2Char0">
    <w:name w:val="Heading2 Char"/>
    <w:basedOn w:val="DefaultParagraphFont"/>
    <w:link w:val="Heading20"/>
    <w:rsid w:val="00043B65"/>
    <w:rPr>
      <w:rFonts w:ascii="Arial" w:eastAsiaTheme="majorEastAsia" w:hAnsi="Arial" w:cs="Arial"/>
      <w:b/>
      <w:bCs/>
      <w:sz w:val="26"/>
      <w:szCs w:val="26"/>
    </w:rPr>
  </w:style>
  <w:style w:type="paragraph" w:styleId="BalloonText">
    <w:name w:val="Balloon Text"/>
    <w:basedOn w:val="Normal"/>
    <w:link w:val="BalloonTextChar"/>
    <w:uiPriority w:val="99"/>
    <w:semiHidden/>
    <w:unhideWhenUsed/>
    <w:rsid w:val="00043B65"/>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3B65"/>
    <w:rPr>
      <w:rFonts w:ascii="Tahoma" w:hAnsi="Tahoma" w:cs="Tahoma"/>
      <w:sz w:val="16"/>
      <w:szCs w:val="16"/>
    </w:rPr>
  </w:style>
  <w:style w:type="character" w:styleId="CommentReference">
    <w:name w:val="annotation reference"/>
    <w:basedOn w:val="DefaultParagraphFont"/>
    <w:uiPriority w:val="99"/>
    <w:semiHidden/>
    <w:unhideWhenUsed/>
    <w:rsid w:val="00043B65"/>
    <w:rPr>
      <w:sz w:val="16"/>
      <w:szCs w:val="16"/>
    </w:rPr>
  </w:style>
  <w:style w:type="paragraph" w:styleId="CommentText">
    <w:name w:val="annotation text"/>
    <w:basedOn w:val="Normal"/>
    <w:link w:val="CommentTextChar"/>
    <w:uiPriority w:val="99"/>
    <w:semiHidden/>
    <w:unhideWhenUsed/>
    <w:rsid w:val="00043B65"/>
    <w:pPr>
      <w:spacing w:line="240" w:lineRule="auto"/>
    </w:pPr>
    <w:rPr>
      <w:sz w:val="20"/>
      <w:szCs w:val="20"/>
    </w:rPr>
  </w:style>
  <w:style w:type="character" w:customStyle="1" w:styleId="CommentTextChar">
    <w:name w:val="Comment Text Char"/>
    <w:basedOn w:val="DefaultParagraphFont"/>
    <w:link w:val="CommentText"/>
    <w:uiPriority w:val="99"/>
    <w:semiHidden/>
    <w:rsid w:val="00043B65"/>
    <w:rPr>
      <w:sz w:val="20"/>
      <w:szCs w:val="20"/>
    </w:rPr>
  </w:style>
  <w:style w:type="paragraph" w:styleId="CommentSubject">
    <w:name w:val="annotation subject"/>
    <w:basedOn w:val="CommentText"/>
    <w:next w:val="CommentText"/>
    <w:link w:val="CommentSubjectChar"/>
    <w:uiPriority w:val="99"/>
    <w:semiHidden/>
    <w:unhideWhenUsed/>
    <w:rsid w:val="00043B65"/>
    <w:rPr>
      <w:b/>
      <w:bCs/>
    </w:rPr>
  </w:style>
  <w:style w:type="character" w:customStyle="1" w:styleId="CommentSubjectChar">
    <w:name w:val="Comment Subject Char"/>
    <w:basedOn w:val="CommentTextChar"/>
    <w:link w:val="CommentSubject"/>
    <w:uiPriority w:val="99"/>
    <w:semiHidden/>
    <w:rsid w:val="00043B65"/>
    <w:rPr>
      <w:b/>
      <w:bCs/>
      <w:sz w:val="20"/>
      <w:szCs w:val="20"/>
    </w:rPr>
  </w:style>
  <w:style w:type="character" w:customStyle="1" w:styleId="apple-converted-space">
    <w:name w:val="apple-converted-space"/>
    <w:basedOn w:val="DefaultParagraphFont"/>
    <w:rsid w:val="00D7439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2</Pages>
  <Words>551</Words>
  <Characters>3145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DRFRANGS B. KOLO</dc:creator>
  <cp:lastModifiedBy>DRFRANGS B. KOLO</cp:lastModifiedBy>
  <cp:revision>6</cp:revision>
  <dcterms:created xsi:type="dcterms:W3CDTF">2017-02-14T19:12:00Z</dcterms:created>
  <dcterms:modified xsi:type="dcterms:W3CDTF">2017-02-15T06:04:00Z</dcterms:modified>
</cp:coreProperties>
</file>