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Use of Different Dieatary Pseudomonas on The Growth Performance and Immune Modulation of African Catfish (</w:t>
      </w:r>
      <w:r>
        <w:rPr>
          <w:b/>
          <w:bCs/>
          <w:i/>
          <w:iCs/>
          <w:sz w:val="24"/>
          <w:szCs w:val="24"/>
          <w:lang w:val="en-GB"/>
        </w:rPr>
        <w:t>Clarias gariepinus</w:t>
      </w:r>
      <w:r>
        <w:rPr>
          <w:b/>
          <w:bCs/>
          <w:sz w:val="24"/>
          <w:szCs w:val="24"/>
          <w:lang w:val="en-GB"/>
        </w:rPr>
        <w:t>)</w:t>
      </w:r>
    </w:p>
    <w:p>
      <w:pPr>
        <w:jc w:val="center"/>
        <w:rPr>
          <w:lang w:val="en-GB"/>
        </w:rPr>
      </w:pPr>
    </w:p>
    <w:p>
      <w:pPr>
        <w:spacing w:line="360" w:lineRule="auto"/>
        <w:jc w:val="center"/>
        <w:rPr>
          <w:lang w:val="en-GB"/>
        </w:rPr>
      </w:pPr>
      <w:r>
        <w:rPr>
          <w:vertAlign w:val="superscript"/>
          <w:lang w:val="en-GB"/>
        </w:rPr>
        <w:t xml:space="preserve">1 </w:t>
      </w:r>
      <w:r>
        <w:rPr>
          <w:lang w:val="en-GB"/>
        </w:rPr>
        <w:t xml:space="preserve">Osungbemiro N.R., </w:t>
      </w:r>
      <w:r>
        <w:rPr>
          <w:vertAlign w:val="superscript"/>
          <w:lang w:val="en-GB"/>
        </w:rPr>
        <w:t xml:space="preserve">2 </w:t>
      </w:r>
      <w:r>
        <w:rPr>
          <w:lang w:val="en-GB"/>
        </w:rPr>
        <w:t xml:space="preserve">O.A. Bello-Olusoji and </w:t>
      </w:r>
      <w:r>
        <w:rPr>
          <w:vertAlign w:val="superscript"/>
          <w:lang w:val="en-GB"/>
        </w:rPr>
        <w:t xml:space="preserve">1 </w:t>
      </w:r>
      <w:r>
        <w:rPr>
          <w:lang w:val="en-GB"/>
        </w:rPr>
        <w:t>Adebola O.T.</w:t>
      </w:r>
    </w:p>
    <w:p>
      <w:pPr>
        <w:spacing w:line="360" w:lineRule="auto"/>
        <w:jc w:val="center"/>
        <w:rPr>
          <w:vertAlign w:val="baseline"/>
          <w:lang w:val="en-GB"/>
        </w:rPr>
      </w:pPr>
      <w:r>
        <w:rPr>
          <w:vertAlign w:val="superscript"/>
          <w:lang w:val="en-GB"/>
        </w:rPr>
        <w:t xml:space="preserve">1 </w:t>
      </w:r>
      <w:r>
        <w:rPr>
          <w:vertAlign w:val="baseline"/>
          <w:lang w:val="en-GB"/>
        </w:rPr>
        <w:t xml:space="preserve">Adeyemi College of Education, Ondo. </w:t>
      </w:r>
      <w:r>
        <w:rPr>
          <w:vertAlign w:val="superscript"/>
          <w:lang w:val="en-GB"/>
        </w:rPr>
        <w:t xml:space="preserve">2 </w:t>
      </w:r>
      <w:r>
        <w:rPr>
          <w:vertAlign w:val="baseline"/>
          <w:lang w:val="en-GB"/>
        </w:rPr>
        <w:t>Federal University of Technology, Akure.Ondo State.</w:t>
      </w:r>
    </w:p>
    <w:p>
      <w:pPr>
        <w:spacing w:line="360" w:lineRule="auto"/>
        <w:jc w:val="left"/>
        <w:rPr>
          <w:b/>
          <w:bCs/>
          <w:vertAlign w:val="baseline"/>
          <w:lang w:val="en-GB"/>
        </w:rPr>
      </w:pPr>
      <w:r>
        <w:rPr>
          <w:b/>
          <w:bCs/>
          <w:vertAlign w:val="baseline"/>
          <w:lang w:val="en-GB"/>
        </w:rPr>
        <w:t xml:space="preserve">                                 Abstract</w:t>
      </w:r>
    </w:p>
    <w:p>
      <w:pPr>
        <w:spacing w:line="360" w:lineRule="auto"/>
        <w:jc w:val="left"/>
        <w:rPr>
          <w:lang w:val="en-GB"/>
        </w:rPr>
      </w:pPr>
      <w:bookmarkStart w:id="0" w:name="_GoBack"/>
      <w:r>
        <w:rPr>
          <w:lang w:val="en-GB"/>
        </w:rPr>
        <w:t xml:space="preserve">Study was conducted on the effect of Probiotics </w:t>
      </w:r>
      <w:r>
        <w:rPr>
          <w:i/>
          <w:iCs/>
          <w:lang w:val="en-GB"/>
        </w:rPr>
        <w:t xml:space="preserve">Pseudomonas sp. </w:t>
      </w:r>
      <w:r>
        <w:rPr>
          <w:lang w:val="en-GB"/>
        </w:rPr>
        <w:t>as a growth promoter and for its anti-bacterial potential on a highly pathogenic</w:t>
      </w:r>
      <w:r>
        <w:rPr>
          <w:i/>
          <w:iCs/>
          <w:lang w:val="en-GB"/>
        </w:rPr>
        <w:t xml:space="preserve"> Clostridium botulinum.  Pseudomonas sp</w:t>
      </w:r>
      <w:r>
        <w:rPr>
          <w:lang w:val="en-GB"/>
        </w:rPr>
        <w:t xml:space="preserve">. Included in a basal diet of 40% crude protein at different concentration of cfu/g. Four diets (PD </w:t>
      </w:r>
      <w:r>
        <w:rPr>
          <w:vertAlign w:val="subscript"/>
          <w:lang w:val="en-GB"/>
        </w:rPr>
        <w:t>1,</w:t>
      </w:r>
      <w:r>
        <w:rPr>
          <w:lang w:val="en-GB"/>
        </w:rPr>
        <w:t xml:space="preserve"> PD</w:t>
      </w:r>
      <w:r>
        <w:rPr>
          <w:vertAlign w:val="subscript"/>
          <w:lang w:val="en-GB"/>
        </w:rPr>
        <w:t xml:space="preserve"> 2</w:t>
      </w:r>
      <w:r>
        <w:rPr>
          <w:lang w:val="en-GB"/>
        </w:rPr>
        <w:t>,PD</w:t>
      </w:r>
      <w:r>
        <w:rPr>
          <w:vertAlign w:val="subscript"/>
          <w:lang w:val="en-GB"/>
        </w:rPr>
        <w:t>3</w:t>
      </w:r>
      <w:r>
        <w:rPr>
          <w:lang w:val="en-GB"/>
        </w:rPr>
        <w:t xml:space="preserve"> &amp;CD</w:t>
      </w:r>
      <w:r>
        <w:rPr>
          <w:vertAlign w:val="subscript"/>
          <w:lang w:val="en-GB"/>
        </w:rPr>
        <w:t>0</w:t>
      </w:r>
      <w:r>
        <w:rPr>
          <w:vertAlign w:val="baseline"/>
          <w:lang w:val="en-GB"/>
        </w:rPr>
        <w:t>) containing 10</w:t>
      </w:r>
      <w:r>
        <w:rPr>
          <w:vertAlign w:val="superscript"/>
          <w:lang w:val="en-GB"/>
        </w:rPr>
        <w:t>-3</w:t>
      </w:r>
      <w:r>
        <w:rPr>
          <w:vertAlign w:val="baseline"/>
          <w:lang w:val="en-GB"/>
        </w:rPr>
        <w:t>cfu/g, 10</w:t>
      </w:r>
      <w:r>
        <w:rPr>
          <w:vertAlign w:val="superscript"/>
          <w:lang w:val="en-GB"/>
        </w:rPr>
        <w:t>-5</w:t>
      </w:r>
      <w:r>
        <w:rPr>
          <w:lang w:val="en-GB"/>
        </w:rPr>
        <w:t xml:space="preserve"> </w:t>
      </w:r>
      <w:r>
        <w:rPr>
          <w:vertAlign w:val="baseline"/>
          <w:lang w:val="en-GB"/>
        </w:rPr>
        <w:t>cfu/g, 10</w:t>
      </w:r>
      <w:r>
        <w:rPr>
          <w:vertAlign w:val="superscript"/>
          <w:lang w:val="en-GB"/>
        </w:rPr>
        <w:t>-7</w:t>
      </w:r>
      <w:r>
        <w:rPr>
          <w:vertAlign w:val="baseline"/>
          <w:lang w:val="en-GB"/>
        </w:rPr>
        <w:t xml:space="preserve">cfu/g and the control diets with 0 cfu/g were fed to juvenile fish of </w:t>
      </w:r>
      <w:r>
        <w:rPr>
          <w:i/>
          <w:iCs/>
          <w:vertAlign w:val="baseline"/>
          <w:lang w:val="en-GB"/>
        </w:rPr>
        <w:t>Clarias gariepinus o</w:t>
      </w:r>
      <w:r>
        <w:rPr>
          <w:vertAlign w:val="baseline"/>
          <w:lang w:val="en-GB"/>
        </w:rPr>
        <w:t>f an average initial weight of 5.10+-0.1g for 70days at 5% body weight. The obtained results indicated that the growth parameters and the % survival rate of the treatments were significantly higher than the fish fed with control diets.(p&lt;0.05). However, among the diets , fish fed with PD</w:t>
      </w:r>
      <w:r>
        <w:rPr>
          <w:vertAlign w:val="subscript"/>
          <w:lang w:val="en-GB"/>
        </w:rPr>
        <w:t xml:space="preserve">3 </w:t>
      </w:r>
      <w:r>
        <w:rPr>
          <w:vertAlign w:val="baseline"/>
          <w:lang w:val="en-GB"/>
        </w:rPr>
        <w:t xml:space="preserve">has the highest weight gain (37.76g), highest PER (27.76), and Feed Intake of 54.49. Also, the result of the heamatological indexes revealed a mark significant difference between the fish fed with various concentration of </w:t>
      </w:r>
      <w:r>
        <w:rPr>
          <w:i/>
          <w:iCs/>
          <w:lang w:val="en-GB"/>
        </w:rPr>
        <w:t>Pseudomonas sp</w:t>
      </w:r>
      <w:r>
        <w:rPr>
          <w:lang w:val="en-GB"/>
        </w:rPr>
        <w:t xml:space="preserve">. and the control (p&lt;0.5). The challenge test conducted on </w:t>
      </w:r>
      <w:r>
        <w:rPr>
          <w:i/>
          <w:iCs/>
          <w:lang w:val="en-GB"/>
        </w:rPr>
        <w:t>Clostridium botulinum</w:t>
      </w:r>
      <w:r>
        <w:rPr>
          <w:lang w:val="en-GB"/>
        </w:rPr>
        <w:t xml:space="preserve"> indicated 66.7% survival rate for fish fed with various concentration of  </w:t>
      </w:r>
      <w:r>
        <w:rPr>
          <w:i/>
          <w:iCs/>
          <w:lang w:val="en-GB"/>
        </w:rPr>
        <w:t>Pseudomonas sp</w:t>
      </w:r>
      <w:r>
        <w:rPr>
          <w:lang w:val="en-GB"/>
        </w:rPr>
        <w:t>. Whereas, the control diet recorded 6.67% survival rate.</w:t>
      </w:r>
    </w:p>
    <w:p>
      <w:pPr>
        <w:spacing w:line="360" w:lineRule="auto"/>
        <w:rPr>
          <w:b/>
          <w:bCs/>
          <w:lang w:val="en-GB"/>
        </w:rPr>
      </w:pPr>
    </w:p>
    <w:p>
      <w:pPr>
        <w:spacing w:line="360" w:lineRule="auto"/>
        <w:rPr>
          <w:i/>
          <w:iCs/>
          <w:lang w:val="en-GB"/>
        </w:rPr>
      </w:pPr>
      <w:r>
        <w:rPr>
          <w:b/>
          <w:bCs/>
          <w:lang w:val="en-GB"/>
        </w:rPr>
        <w:t xml:space="preserve">Keywords : </w:t>
      </w:r>
      <w:r>
        <w:rPr>
          <w:lang w:val="en-GB"/>
        </w:rPr>
        <w:t xml:space="preserve">Probiotics, </w:t>
      </w:r>
      <w:r>
        <w:rPr>
          <w:i/>
          <w:iCs/>
          <w:lang w:val="en-GB"/>
        </w:rPr>
        <w:t>Pseudomonas, Clostridium botulinum, Clarias gariepinus, modulation.</w:t>
      </w:r>
    </w:p>
    <w:p>
      <w:pPr>
        <w:spacing w:line="360" w:lineRule="auto"/>
        <w:rPr>
          <w:i/>
          <w:iCs/>
          <w:lang w:val="en-GB"/>
        </w:rPr>
      </w:pPr>
    </w:p>
    <w:bookmarkEnd w:id="0"/>
    <w:p>
      <w:pPr>
        <w:spacing w:line="360" w:lineRule="auto"/>
        <w:rPr>
          <w:lang w:val="en-GB"/>
        </w:rPr>
      </w:pPr>
      <w:r>
        <w:rPr>
          <w:b/>
          <w:bCs/>
          <w:lang w:val="en-GB"/>
        </w:rPr>
        <w:t xml:space="preserve">Corresponding Author : </w:t>
      </w:r>
      <w:r>
        <w:rPr>
          <w:lang w:val="en-GB"/>
        </w:rPr>
        <w:t>Osungbemiro N.R. +2348035661033, e-mail : bronelsonto03@gmail.com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roma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decorative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moder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roma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019F9"/>
    <w:rsid w:val="49806E68"/>
    <w:rsid w:val="60C60DD4"/>
    <w:rsid w:val="62BF4C06"/>
    <w:rsid w:val="6D720314"/>
    <w:rsid w:val="73A019F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2017-02-04T20:17:00Z</dcterms:created>
  <dc:creator>nelson gbemiro</dc:creator>
  <cp:lastModifiedBy>nelson gbemiro</cp:lastModifiedBy>
  <dcterms:modified xsi:type="dcterms:W3CDTF">2017-03-03T21:45:20Z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1033-10.1.0.5674</vt:lpwstr>
  </property>
</Properties>
</file>