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4AA" w:rsidRDefault="001754AA" w:rsidP="001754AA">
      <w:pPr>
        <w:pStyle w:val="SAP-PaperTitle"/>
        <w:rPr>
          <w:rFonts w:eastAsia="SimSun"/>
        </w:rPr>
      </w:pPr>
      <w:r>
        <w:rPr>
          <w:rFonts w:eastAsia="SimSun"/>
        </w:rPr>
        <w:t>Nutritional Evaluation of Commonly Used Local Weaning Food Processed and Sold in The Mount Cameroon Region.</w:t>
      </w:r>
    </w:p>
    <w:p w:rsidR="001754AA" w:rsidRDefault="001754AA" w:rsidP="001754AA">
      <w:pPr>
        <w:pStyle w:val="SAP-Author"/>
        <w:keepNext/>
        <w:spacing w:before="0" w:after="0"/>
      </w:pPr>
      <w:r>
        <w:t xml:space="preserve">Asoba Gillian Nkeudem </w:t>
      </w:r>
      <w:r>
        <w:rPr>
          <w:vertAlign w:val="superscript"/>
        </w:rPr>
        <w:t>1,2</w:t>
      </w:r>
      <w:r>
        <w:t>, Sumbele Irene Ule Ngole</w:t>
      </w:r>
      <w:r>
        <w:rPr>
          <w:vertAlign w:val="superscript"/>
        </w:rPr>
        <w:t>2</w:t>
      </w:r>
      <w:r>
        <w:t>, Anchang-Kimbi Judith</w:t>
      </w:r>
      <w:r>
        <w:rPr>
          <w:vertAlign w:val="superscript"/>
        </w:rPr>
        <w:t>2</w:t>
      </w:r>
      <w:r>
        <w:t xml:space="preserve">, </w:t>
      </w:r>
    </w:p>
    <w:p w:rsidR="001754AA" w:rsidRDefault="001754AA" w:rsidP="001754AA">
      <w:pPr>
        <w:pStyle w:val="SAP-Author"/>
        <w:keepNext/>
        <w:spacing w:before="0" w:after="0"/>
      </w:pPr>
      <w:r>
        <w:t>Teh Rene Ning</w:t>
      </w:r>
      <w:r>
        <w:rPr>
          <w:vertAlign w:val="superscript"/>
        </w:rPr>
        <w:t>2</w:t>
      </w:r>
      <w:r>
        <w:t>, Samuel Metuge</w:t>
      </w:r>
      <w:r>
        <w:rPr>
          <w:vertAlign w:val="superscript"/>
        </w:rPr>
        <w:t>1</w:t>
      </w:r>
      <w:r>
        <w:t>, Kaptso Kuaté Giscard</w:t>
      </w:r>
      <w:r>
        <w:rPr>
          <w:vertAlign w:val="superscript"/>
        </w:rPr>
        <w:t>1,3*</w:t>
      </w:r>
    </w:p>
    <w:p w:rsidR="001754AA" w:rsidRDefault="001754AA" w:rsidP="001754AA">
      <w:pPr>
        <w:pStyle w:val="SAP-Author"/>
        <w:keepNext/>
        <w:spacing w:before="0" w:after="0"/>
        <w:rPr>
          <w:rFonts w:eastAsia="SimSun"/>
        </w:rPr>
      </w:pPr>
    </w:p>
    <w:p w:rsidR="001754AA" w:rsidRDefault="001754AA" w:rsidP="001754AA">
      <w:pPr>
        <w:pStyle w:val="SAP-Affiliation"/>
      </w:pPr>
      <w:r>
        <w:rPr>
          <w:vertAlign w:val="superscript"/>
        </w:rPr>
        <w:t xml:space="preserve">1 </w:t>
      </w:r>
      <w:r>
        <w:t xml:space="preserve">Department of Social Economy and Family Management, Higher Technical Teachers' Training College, University of </w:t>
      </w:r>
      <w:proofErr w:type="spellStart"/>
      <w:r>
        <w:t>Buea</w:t>
      </w:r>
      <w:proofErr w:type="spellEnd"/>
      <w:r>
        <w:t xml:space="preserve"> P.O Box 249, </w:t>
      </w:r>
      <w:proofErr w:type="spellStart"/>
      <w:r>
        <w:t>Kumba</w:t>
      </w:r>
      <w:proofErr w:type="spellEnd"/>
      <w:r>
        <w:t>, Cameroon.</w:t>
      </w:r>
    </w:p>
    <w:p w:rsidR="001754AA" w:rsidRDefault="001754AA" w:rsidP="001754AA">
      <w:pPr>
        <w:pStyle w:val="SAP-Affiliation"/>
      </w:pPr>
      <w:r>
        <w:rPr>
          <w:vertAlign w:val="superscript"/>
        </w:rPr>
        <w:t xml:space="preserve">2 </w:t>
      </w:r>
      <w:r>
        <w:t xml:space="preserve">Department of Zoology and Animal Physiology, Faculty of Science, University of </w:t>
      </w:r>
      <w:proofErr w:type="spellStart"/>
      <w:r>
        <w:t>Buea</w:t>
      </w:r>
      <w:proofErr w:type="spellEnd"/>
      <w:r>
        <w:t xml:space="preserve">, P.O Box 63, </w:t>
      </w:r>
      <w:proofErr w:type="spellStart"/>
      <w:r>
        <w:t>Buea</w:t>
      </w:r>
      <w:proofErr w:type="spellEnd"/>
      <w:r>
        <w:t>, Cameroon.</w:t>
      </w:r>
    </w:p>
    <w:p w:rsidR="001754AA" w:rsidRDefault="001754AA" w:rsidP="001754AA">
      <w:pPr>
        <w:pStyle w:val="SAP-Affiliation"/>
      </w:pPr>
      <w:r>
        <w:rPr>
          <w:vertAlign w:val="superscript"/>
        </w:rPr>
        <w:t>3</w:t>
      </w:r>
      <w:r>
        <w:t xml:space="preserve"> Chemical Engineering and Mineral Industries School (EGCIM), University of </w:t>
      </w:r>
      <w:proofErr w:type="spellStart"/>
      <w:r>
        <w:t>Ngaoundere</w:t>
      </w:r>
      <w:proofErr w:type="spellEnd"/>
      <w:r>
        <w:t xml:space="preserve">, P.O Box 454, </w:t>
      </w:r>
      <w:proofErr w:type="spellStart"/>
      <w:r>
        <w:t>Ngaoundere</w:t>
      </w:r>
      <w:proofErr w:type="spellEnd"/>
      <w:r>
        <w:t>, Cameroon.</w:t>
      </w:r>
    </w:p>
    <w:p w:rsidR="001754AA" w:rsidRDefault="001754AA" w:rsidP="001754AA">
      <w:pPr>
        <w:pStyle w:val="SAP-AffiliationLastline"/>
        <w:spacing w:after="0" w:line="240" w:lineRule="exact"/>
        <w:rPr>
          <w:rFonts w:eastAsia="SimSun"/>
        </w:rPr>
      </w:pPr>
      <w:r>
        <w:pict>
          <v:rect id="_x0000_i1025" style="width:468pt;height:.75pt" o:hralign="center" o:hrstd="t" o:hrnoshade="t" o:hr="t" fillcolor="black" stroked="f"/>
        </w:pict>
      </w:r>
    </w:p>
    <w:p w:rsidR="001754AA" w:rsidRDefault="001754AA" w:rsidP="001754AA">
      <w:pPr>
        <w:keepNext/>
        <w:spacing w:line="240" w:lineRule="exact"/>
        <w:rPr>
          <w:rStyle w:val="SAP-AbtractTextChar"/>
          <w:sz w:val="20"/>
          <w:szCs w:val="20"/>
        </w:rPr>
      </w:pPr>
      <w:proofErr w:type="gramStart"/>
      <w:r>
        <w:rPr>
          <w:rStyle w:val="SAP-AbstractHeadingChar"/>
        </w:rPr>
        <w:t>Abstract</w:t>
      </w:r>
      <w:r>
        <w:rPr>
          <w:rFonts w:ascii="Times New Roman" w:hAnsi="Times New Roman"/>
        </w:rPr>
        <w:t xml:space="preserve">  </w:t>
      </w:r>
      <w:r>
        <w:rPr>
          <w:rStyle w:val="SAP-AbtractTextChar"/>
          <w:sz w:val="20"/>
          <w:szCs w:val="20"/>
        </w:rPr>
        <w:t>Malnutrition</w:t>
      </w:r>
      <w:proofErr w:type="gramEnd"/>
      <w:r>
        <w:rPr>
          <w:rStyle w:val="SAP-AbtractTextChar"/>
          <w:sz w:val="20"/>
          <w:szCs w:val="20"/>
        </w:rPr>
        <w:t xml:space="preserve"> is one of the major world health problems facing developing countries. Weaning includes the long critical period (the age of 5–6 months), when the child slowly gets used to other adults' food. Death and morbidity due to Protein Energy Malnutrition in infancy continue to scourge populations in many parts of the third world. This study was carried out to assess the quality of some local weaning food processed and sold in the Mount Cameroon region. Samples used required collecting of some local weaning food namely: Vita Force (VT), </w:t>
      </w:r>
      <w:proofErr w:type="spellStart"/>
      <w:r>
        <w:rPr>
          <w:rStyle w:val="SAP-AbtractTextChar"/>
          <w:sz w:val="20"/>
          <w:szCs w:val="20"/>
        </w:rPr>
        <w:t>Soytine</w:t>
      </w:r>
      <w:proofErr w:type="spellEnd"/>
      <w:r>
        <w:rPr>
          <w:rStyle w:val="SAP-AbtractTextChar"/>
          <w:sz w:val="20"/>
          <w:szCs w:val="20"/>
        </w:rPr>
        <w:t xml:space="preserve"> (ST), </w:t>
      </w:r>
      <w:proofErr w:type="spellStart"/>
      <w:r>
        <w:rPr>
          <w:rStyle w:val="SAP-AbtractTextChar"/>
          <w:sz w:val="20"/>
          <w:szCs w:val="20"/>
        </w:rPr>
        <w:t>Soyaconia</w:t>
      </w:r>
      <w:proofErr w:type="spellEnd"/>
      <w:r>
        <w:rPr>
          <w:rStyle w:val="SAP-AbtractTextChar"/>
          <w:sz w:val="20"/>
          <w:szCs w:val="20"/>
        </w:rPr>
        <w:t xml:space="preserve"> (SC), Soya Pap (SP), </w:t>
      </w:r>
      <w:proofErr w:type="spellStart"/>
      <w:r>
        <w:rPr>
          <w:rStyle w:val="SAP-AbtractTextChar"/>
          <w:sz w:val="20"/>
          <w:szCs w:val="20"/>
        </w:rPr>
        <w:t>Tanty</w:t>
      </w:r>
      <w:proofErr w:type="spellEnd"/>
      <w:r>
        <w:rPr>
          <w:rStyle w:val="SAP-AbtractTextChar"/>
          <w:sz w:val="20"/>
          <w:szCs w:val="20"/>
        </w:rPr>
        <w:t xml:space="preserve"> </w:t>
      </w:r>
      <w:proofErr w:type="spellStart"/>
      <w:r>
        <w:rPr>
          <w:rStyle w:val="SAP-AbtractTextChar"/>
          <w:sz w:val="20"/>
          <w:szCs w:val="20"/>
        </w:rPr>
        <w:t>Reine</w:t>
      </w:r>
      <w:proofErr w:type="spellEnd"/>
      <w:r>
        <w:rPr>
          <w:rStyle w:val="SAP-AbtractTextChar"/>
          <w:sz w:val="20"/>
          <w:szCs w:val="20"/>
        </w:rPr>
        <w:t xml:space="preserve"> (TR), Dina Baby (DB) and </w:t>
      </w:r>
      <w:proofErr w:type="spellStart"/>
      <w:r>
        <w:rPr>
          <w:rStyle w:val="SAP-AbtractTextChar"/>
          <w:sz w:val="20"/>
          <w:szCs w:val="20"/>
        </w:rPr>
        <w:t>Cerelac</w:t>
      </w:r>
      <w:proofErr w:type="spellEnd"/>
      <w:r>
        <w:rPr>
          <w:rStyle w:val="SAP-AbtractTextChar"/>
          <w:sz w:val="20"/>
          <w:szCs w:val="20"/>
        </w:rPr>
        <w:t xml:space="preserve">® biscuit produced by Nestlé©. Proximate composition, sugars and fatty acids profile of local weaning food were carry out using the AOAC methods, HPLC and GLC-FID analysis. Mineral content using the Atomic Absorption Spectrophotometer and Amino acid, Vitamin B determined by HPLC analysis as well as Ascorbic Acid and fat-soluble Vitamin. Microbiological analysis </w:t>
      </w:r>
      <w:proofErr w:type="gramStart"/>
      <w:r>
        <w:rPr>
          <w:rStyle w:val="SAP-AbtractTextChar"/>
          <w:sz w:val="20"/>
          <w:szCs w:val="20"/>
        </w:rPr>
        <w:t>were</w:t>
      </w:r>
      <w:proofErr w:type="gramEnd"/>
      <w:r>
        <w:rPr>
          <w:rStyle w:val="SAP-AbtractTextChar"/>
          <w:sz w:val="20"/>
          <w:szCs w:val="20"/>
        </w:rPr>
        <w:t xml:space="preserve"> done using Coliform count and total viable count methods. All data obtained was statistical analysed using Duncan’s multiple range test. Results obtained showed that macronutrient composition, energy value and moisture contents of local weaning food are significantly different (P &lt; 0.05). Mineral composition showed that calcium contents range from 230.48 mg.100g</w:t>
      </w:r>
      <w:r>
        <w:rPr>
          <w:rStyle w:val="SAP-AbtractTextChar"/>
          <w:sz w:val="20"/>
          <w:szCs w:val="20"/>
          <w:vertAlign w:val="superscript"/>
        </w:rPr>
        <w:t>-1</w:t>
      </w:r>
      <w:r>
        <w:rPr>
          <w:rStyle w:val="SAP-AbtractTextChar"/>
          <w:sz w:val="20"/>
          <w:szCs w:val="20"/>
        </w:rPr>
        <w:t xml:space="preserve"> (VF) to 322.30 mg.100g</w:t>
      </w:r>
      <w:r>
        <w:rPr>
          <w:rStyle w:val="SAP-AbtractTextChar"/>
          <w:sz w:val="20"/>
          <w:szCs w:val="20"/>
          <w:vertAlign w:val="superscript"/>
        </w:rPr>
        <w:t>-1</w:t>
      </w:r>
      <w:r>
        <w:rPr>
          <w:rStyle w:val="SAP-AbtractTextChar"/>
          <w:sz w:val="20"/>
          <w:szCs w:val="20"/>
        </w:rPr>
        <w:t xml:space="preserve"> (TR), phosphorus from 230.48 mg.100g</w:t>
      </w:r>
      <w:r>
        <w:rPr>
          <w:rStyle w:val="SAP-AbtractTextChar"/>
          <w:sz w:val="20"/>
          <w:szCs w:val="20"/>
          <w:vertAlign w:val="superscript"/>
        </w:rPr>
        <w:t>-1</w:t>
      </w:r>
      <w:r>
        <w:rPr>
          <w:rStyle w:val="SAP-AbtractTextChar"/>
          <w:sz w:val="20"/>
          <w:szCs w:val="20"/>
        </w:rPr>
        <w:t xml:space="preserve"> (VF) to 322.302 mg.100g</w:t>
      </w:r>
      <w:r>
        <w:rPr>
          <w:rStyle w:val="SAP-AbtractTextChar"/>
          <w:sz w:val="20"/>
          <w:szCs w:val="20"/>
          <w:vertAlign w:val="superscript"/>
        </w:rPr>
        <w:t>-1</w:t>
      </w:r>
      <w:r>
        <w:rPr>
          <w:rStyle w:val="SAP-AbtractTextChar"/>
          <w:sz w:val="20"/>
          <w:szCs w:val="20"/>
        </w:rPr>
        <w:t xml:space="preserve"> (TR), zinc from 1.91 mg.100g</w:t>
      </w:r>
      <w:r>
        <w:rPr>
          <w:rStyle w:val="SAP-AbtractTextChar"/>
          <w:sz w:val="20"/>
          <w:szCs w:val="20"/>
          <w:vertAlign w:val="superscript"/>
        </w:rPr>
        <w:t>-1</w:t>
      </w:r>
      <w:r>
        <w:rPr>
          <w:rStyle w:val="SAP-AbtractTextChar"/>
          <w:sz w:val="20"/>
          <w:szCs w:val="20"/>
        </w:rPr>
        <w:t xml:space="preserve"> (DB) mg.100g-1 to 2.45 mg.100g</w:t>
      </w:r>
      <w:r>
        <w:rPr>
          <w:rStyle w:val="SAP-AbtractTextChar"/>
          <w:sz w:val="20"/>
          <w:szCs w:val="20"/>
          <w:vertAlign w:val="superscript"/>
        </w:rPr>
        <w:t>-1</w:t>
      </w:r>
      <w:r>
        <w:rPr>
          <w:rStyle w:val="SAP-AbtractTextChar"/>
          <w:sz w:val="20"/>
          <w:szCs w:val="20"/>
        </w:rPr>
        <w:t xml:space="preserve"> (TR); and iron content varied from 17.32 mg.100g</w:t>
      </w:r>
      <w:r>
        <w:rPr>
          <w:rStyle w:val="SAP-AbtractTextChar"/>
          <w:sz w:val="20"/>
          <w:szCs w:val="20"/>
          <w:vertAlign w:val="superscript"/>
        </w:rPr>
        <w:t>-1</w:t>
      </w:r>
      <w:r>
        <w:rPr>
          <w:rStyle w:val="SAP-AbtractTextChar"/>
          <w:sz w:val="20"/>
          <w:szCs w:val="20"/>
        </w:rPr>
        <w:t xml:space="preserve"> (DB) to 21.08 mg.100g</w:t>
      </w:r>
      <w:r>
        <w:rPr>
          <w:rStyle w:val="SAP-AbtractTextChar"/>
          <w:sz w:val="20"/>
          <w:szCs w:val="20"/>
          <w:vertAlign w:val="superscript"/>
        </w:rPr>
        <w:t>-1</w:t>
      </w:r>
      <w:r>
        <w:rPr>
          <w:rStyle w:val="SAP-AbtractTextChar"/>
          <w:sz w:val="20"/>
          <w:szCs w:val="20"/>
        </w:rPr>
        <w:t xml:space="preserve"> (VF). In all local WF samples, </w:t>
      </w:r>
      <w:proofErr w:type="spellStart"/>
      <w:r>
        <w:rPr>
          <w:rStyle w:val="SAP-AbtractTextChar"/>
          <w:sz w:val="20"/>
          <w:szCs w:val="20"/>
        </w:rPr>
        <w:t>octadecenoic</w:t>
      </w:r>
      <w:proofErr w:type="spellEnd"/>
      <w:r>
        <w:rPr>
          <w:rStyle w:val="SAP-AbtractTextChar"/>
          <w:sz w:val="20"/>
          <w:szCs w:val="20"/>
        </w:rPr>
        <w:t xml:space="preserve"> (oleic) acid which is a mono unsaturated fatty acid had the highest value close to 3.50% in all samples, followed by </w:t>
      </w:r>
      <w:proofErr w:type="spellStart"/>
      <w:r>
        <w:rPr>
          <w:rStyle w:val="SAP-AbtractTextChar"/>
          <w:sz w:val="20"/>
          <w:szCs w:val="20"/>
        </w:rPr>
        <w:t>octadecadienoic</w:t>
      </w:r>
      <w:proofErr w:type="spellEnd"/>
      <w:r>
        <w:rPr>
          <w:rStyle w:val="SAP-AbtractTextChar"/>
          <w:sz w:val="20"/>
          <w:szCs w:val="20"/>
        </w:rPr>
        <w:t xml:space="preserve"> (linoleic) acid a polyunsaturated fatty acid with a value around 2.50% in all samples. The local WF are lactose free compared to </w:t>
      </w:r>
      <w:proofErr w:type="spellStart"/>
      <w:r>
        <w:rPr>
          <w:rStyle w:val="SAP-AbtractTextChar"/>
          <w:sz w:val="20"/>
          <w:szCs w:val="20"/>
        </w:rPr>
        <w:t>Cerelac</w:t>
      </w:r>
      <w:proofErr w:type="spellEnd"/>
      <w:r>
        <w:rPr>
          <w:rStyle w:val="SAP-AbtractTextChar"/>
          <w:sz w:val="20"/>
          <w:szCs w:val="20"/>
        </w:rPr>
        <w:t xml:space="preserve"> (3.13 mg.100g</w:t>
      </w:r>
      <w:r>
        <w:rPr>
          <w:rStyle w:val="SAP-AbtractTextChar"/>
          <w:sz w:val="20"/>
          <w:szCs w:val="20"/>
          <w:vertAlign w:val="superscript"/>
        </w:rPr>
        <w:t>-1</w:t>
      </w:r>
      <w:r>
        <w:rPr>
          <w:rStyle w:val="SAP-AbtractTextChar"/>
          <w:sz w:val="20"/>
          <w:szCs w:val="20"/>
        </w:rPr>
        <w:t xml:space="preserve"> lactose). Vitamins composition indicated retinol content varying from 1112.33 IU.100g</w:t>
      </w:r>
      <w:r>
        <w:rPr>
          <w:rStyle w:val="SAP-AbtractTextChar"/>
          <w:sz w:val="20"/>
          <w:szCs w:val="20"/>
          <w:vertAlign w:val="superscript"/>
        </w:rPr>
        <w:t>-1</w:t>
      </w:r>
      <w:r>
        <w:rPr>
          <w:rStyle w:val="SAP-AbtractTextChar"/>
          <w:sz w:val="20"/>
          <w:szCs w:val="20"/>
        </w:rPr>
        <w:t xml:space="preserve"> (VF) to 2668.23 IU.100g</w:t>
      </w:r>
      <w:r>
        <w:rPr>
          <w:rStyle w:val="SAP-AbtractTextChar"/>
          <w:sz w:val="20"/>
          <w:szCs w:val="20"/>
          <w:vertAlign w:val="superscript"/>
        </w:rPr>
        <w:t>-1</w:t>
      </w:r>
      <w:r>
        <w:rPr>
          <w:rStyle w:val="SAP-AbtractTextChar"/>
          <w:sz w:val="20"/>
          <w:szCs w:val="20"/>
        </w:rPr>
        <w:t xml:space="preserve"> (SP) and is 1083 IU.100g</w:t>
      </w:r>
      <w:r>
        <w:rPr>
          <w:rStyle w:val="SAP-AbtractTextChar"/>
          <w:sz w:val="20"/>
          <w:szCs w:val="20"/>
          <w:vertAlign w:val="superscript"/>
        </w:rPr>
        <w:t>-1</w:t>
      </w:r>
      <w:r>
        <w:rPr>
          <w:rStyle w:val="SAP-AbtractTextChar"/>
          <w:sz w:val="20"/>
          <w:szCs w:val="20"/>
        </w:rPr>
        <w:t xml:space="preserve"> for the </w:t>
      </w:r>
      <w:proofErr w:type="spellStart"/>
      <w:r>
        <w:rPr>
          <w:rStyle w:val="SAP-AbtractTextChar"/>
          <w:sz w:val="20"/>
          <w:szCs w:val="20"/>
        </w:rPr>
        <w:t>Cerelac</w:t>
      </w:r>
      <w:proofErr w:type="spellEnd"/>
      <w:r>
        <w:rPr>
          <w:rStyle w:val="SAP-AbtractTextChar"/>
          <w:sz w:val="20"/>
          <w:szCs w:val="20"/>
        </w:rPr>
        <w:t xml:space="preserve">. The </w:t>
      </w:r>
      <w:proofErr w:type="spellStart"/>
      <w:r>
        <w:rPr>
          <w:rStyle w:val="SAP-AbtractTextChar"/>
          <w:sz w:val="20"/>
          <w:szCs w:val="20"/>
        </w:rPr>
        <w:t>thiamin</w:t>
      </w:r>
      <w:proofErr w:type="spellEnd"/>
      <w:r>
        <w:rPr>
          <w:rStyle w:val="SAP-AbtractTextChar"/>
          <w:sz w:val="20"/>
          <w:szCs w:val="20"/>
        </w:rPr>
        <w:t xml:space="preserve"> content varied from 106.90 μg.100g</w:t>
      </w:r>
      <w:r>
        <w:rPr>
          <w:rStyle w:val="SAP-AbtractTextChar"/>
          <w:sz w:val="20"/>
          <w:szCs w:val="20"/>
          <w:vertAlign w:val="superscript"/>
        </w:rPr>
        <w:t>-1</w:t>
      </w:r>
      <w:r>
        <w:rPr>
          <w:rStyle w:val="SAP-AbtractTextChar"/>
          <w:sz w:val="20"/>
          <w:szCs w:val="20"/>
        </w:rPr>
        <w:t xml:space="preserve"> to 160.80 μg.100g</w:t>
      </w:r>
      <w:r>
        <w:rPr>
          <w:rStyle w:val="SAP-AbtractTextChar"/>
          <w:sz w:val="20"/>
          <w:szCs w:val="20"/>
          <w:vertAlign w:val="superscript"/>
        </w:rPr>
        <w:t>-1</w:t>
      </w:r>
      <w:r>
        <w:rPr>
          <w:rStyle w:val="SAP-AbtractTextChar"/>
          <w:sz w:val="20"/>
          <w:szCs w:val="20"/>
        </w:rPr>
        <w:t xml:space="preserve"> respectively for DB and VF weaning flour. The same observations were made for riboflavin, 247.52 μg.100g</w:t>
      </w:r>
      <w:r>
        <w:rPr>
          <w:rStyle w:val="SAP-AbtractTextChar"/>
          <w:sz w:val="20"/>
          <w:szCs w:val="20"/>
          <w:vertAlign w:val="superscript"/>
        </w:rPr>
        <w:t>-1</w:t>
      </w:r>
      <w:r>
        <w:rPr>
          <w:rStyle w:val="SAP-AbtractTextChar"/>
          <w:sz w:val="20"/>
          <w:szCs w:val="20"/>
        </w:rPr>
        <w:t xml:space="preserve"> (VF) to 292.54 μg.100g</w:t>
      </w:r>
      <w:r>
        <w:rPr>
          <w:rStyle w:val="SAP-AbtractTextChar"/>
          <w:sz w:val="20"/>
          <w:szCs w:val="20"/>
          <w:vertAlign w:val="superscript"/>
        </w:rPr>
        <w:t>-1</w:t>
      </w:r>
      <w:r>
        <w:rPr>
          <w:rStyle w:val="SAP-AbtractTextChar"/>
          <w:sz w:val="20"/>
          <w:szCs w:val="20"/>
        </w:rPr>
        <w:t xml:space="preserve"> (SP). Amino acids profile indicated Essential amino acids were signiﬁcantly higher compared to FAO/WHO Recommended Pattern for children, in valine (5.12-5.9g/100g Protein), Isoleucine (4.18-4.36 g/100g Protein) and histidine (2.04-2.68 g/100g Protein). Lysine content of local WF (4.86-5.9 g/100g Protein) was lower to cover the recommended pattern. Microbiological load for local WF and </w:t>
      </w:r>
      <w:proofErr w:type="spellStart"/>
      <w:r>
        <w:rPr>
          <w:rStyle w:val="SAP-AbtractTextChar"/>
          <w:sz w:val="20"/>
          <w:szCs w:val="20"/>
        </w:rPr>
        <w:t>Cerelac</w:t>
      </w:r>
      <w:proofErr w:type="spellEnd"/>
      <w:r>
        <w:rPr>
          <w:rStyle w:val="SAP-AbtractTextChar"/>
          <w:sz w:val="20"/>
          <w:szCs w:val="20"/>
        </w:rPr>
        <w:t xml:space="preserve"> determine the wholesomeness of WF for consumption as the Coliform counts were in acceptable range. At the end, we can say the values of minerals and vitamins content measured were well above the values recommended to cover Recommended Daily Allowance. Hence, local WF Processed and Sold in The Mount Cameroon Region are good for children’s normal nutrition and growth if handled with optimum care.</w:t>
      </w:r>
    </w:p>
    <w:p w:rsidR="006F47BE" w:rsidRDefault="001754AA" w:rsidP="001754AA">
      <w:proofErr w:type="gramStart"/>
      <w:r>
        <w:rPr>
          <w:rStyle w:val="SAP-KeywordsHeadingChar"/>
        </w:rPr>
        <w:t>Keywords</w:t>
      </w:r>
      <w:r>
        <w:rPr>
          <w:rFonts w:ascii="Times New Roman" w:hAnsi="Times New Roman"/>
        </w:rPr>
        <w:t xml:space="preserve">  </w:t>
      </w:r>
      <w:r>
        <w:rPr>
          <w:rStyle w:val="SAP-KeywordsTextChar"/>
          <w:rFonts w:eastAsia="SimSun"/>
        </w:rPr>
        <w:t>Local</w:t>
      </w:r>
      <w:proofErr w:type="gramEnd"/>
      <w:r>
        <w:rPr>
          <w:rStyle w:val="SAP-KeywordsTextChar"/>
          <w:rFonts w:eastAsia="SimSun"/>
        </w:rPr>
        <w:t xml:space="preserve"> weaning food, mount Cameroon, malnutrition, chemical, composition, microbiological load</w:t>
      </w:r>
      <w:bookmarkStart w:id="0" w:name="_GoBack"/>
      <w:bookmarkEnd w:id="0"/>
    </w:p>
    <w:sectPr w:rsidR="006F47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4AA"/>
    <w:rsid w:val="001754AA"/>
    <w:rsid w:val="006F4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D969C-2EB0-42A0-842E-6E2A045A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4AA"/>
    <w:pPr>
      <w:widowControl w:val="0"/>
      <w:spacing w:after="0" w:line="240" w:lineRule="auto"/>
      <w:jc w:val="both"/>
    </w:pPr>
    <w:rPr>
      <w:rFonts w:ascii="Calibri" w:eastAsia="SimSun" w:hAnsi="Calibri" w:cs="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P-KeywordsTextChar">
    <w:name w:val="SAP-Keywords Text Char"/>
    <w:link w:val="SAP-KeywordsText"/>
    <w:locked/>
    <w:rsid w:val="001754AA"/>
    <w:rPr>
      <w:rFonts w:ascii="Times New Roman" w:eastAsia="Times New Roman" w:hAnsi="Times New Roman" w:cs="Times New Roman"/>
      <w:szCs w:val="24"/>
      <w:lang w:val="en-GB" w:eastAsia="en-GB"/>
    </w:rPr>
  </w:style>
  <w:style w:type="paragraph" w:customStyle="1" w:styleId="SAP-KeywordsText">
    <w:name w:val="SAP-Keywords Text"/>
    <w:basedOn w:val="Normal"/>
    <w:next w:val="Normal"/>
    <w:link w:val="SAP-KeywordsTextChar"/>
    <w:rsid w:val="001754AA"/>
    <w:pPr>
      <w:widowControl/>
      <w:adjustRightInd w:val="0"/>
      <w:snapToGrid w:val="0"/>
      <w:spacing w:before="156" w:after="156" w:line="240" w:lineRule="exact"/>
    </w:pPr>
    <w:rPr>
      <w:rFonts w:ascii="Times New Roman" w:eastAsia="Times New Roman" w:hAnsi="Times New Roman"/>
      <w:kern w:val="0"/>
      <w:sz w:val="22"/>
      <w:szCs w:val="24"/>
      <w:lang w:val="en-GB" w:eastAsia="en-GB"/>
    </w:rPr>
  </w:style>
  <w:style w:type="character" w:customStyle="1" w:styleId="SAP-AbtractTextChar">
    <w:name w:val="SAP-Abtract Text Char"/>
    <w:link w:val="SAP-AbtractText"/>
    <w:locked/>
    <w:rsid w:val="001754AA"/>
    <w:rPr>
      <w:rFonts w:ascii="Times New Roman" w:hAnsi="Times New Roman" w:cs="Times New Roman"/>
      <w:sz w:val="24"/>
      <w:szCs w:val="24"/>
      <w:lang w:val="en-AU" w:eastAsia="x-none"/>
    </w:rPr>
  </w:style>
  <w:style w:type="paragraph" w:customStyle="1" w:styleId="SAP-AbtractText">
    <w:name w:val="SAP-Abtract Text"/>
    <w:basedOn w:val="Normal"/>
    <w:next w:val="Normal"/>
    <w:link w:val="SAP-AbtractTextChar"/>
    <w:rsid w:val="001754AA"/>
    <w:pPr>
      <w:keepNext/>
      <w:widowControl/>
      <w:jc w:val="left"/>
    </w:pPr>
    <w:rPr>
      <w:rFonts w:ascii="Times New Roman" w:eastAsiaTheme="minorHAnsi" w:hAnsi="Times New Roman"/>
      <w:kern w:val="0"/>
      <w:sz w:val="24"/>
      <w:szCs w:val="24"/>
      <w:lang w:val="en-AU" w:eastAsia="x-none"/>
    </w:rPr>
  </w:style>
  <w:style w:type="paragraph" w:customStyle="1" w:styleId="SAP-Affiliation">
    <w:name w:val="SAP-Affiliation"/>
    <w:basedOn w:val="Normal"/>
    <w:qFormat/>
    <w:rsid w:val="001754AA"/>
    <w:pPr>
      <w:widowControl/>
      <w:spacing w:line="200" w:lineRule="exact"/>
      <w:jc w:val="center"/>
    </w:pPr>
    <w:rPr>
      <w:rFonts w:ascii="Times New Roman" w:hAnsi="Times New Roman"/>
      <w:sz w:val="18"/>
      <w:szCs w:val="18"/>
    </w:rPr>
  </w:style>
  <w:style w:type="paragraph" w:customStyle="1" w:styleId="SAP-Author">
    <w:name w:val="SAP-Author"/>
    <w:qFormat/>
    <w:rsid w:val="001754AA"/>
    <w:pPr>
      <w:spacing w:before="340" w:after="340" w:line="240" w:lineRule="auto"/>
      <w:jc w:val="center"/>
    </w:pPr>
    <w:rPr>
      <w:rFonts w:ascii="Times New Roman" w:eastAsia="Times New Roman" w:hAnsi="Times New Roman" w:cs="Times New Roman"/>
      <w:b/>
      <w:noProof/>
    </w:rPr>
  </w:style>
  <w:style w:type="paragraph" w:customStyle="1" w:styleId="SAP-PaperTitle">
    <w:name w:val="SAP-Paper Title"/>
    <w:rsid w:val="001754AA"/>
    <w:pPr>
      <w:spacing w:before="440" w:after="440" w:line="540" w:lineRule="exact"/>
      <w:jc w:val="center"/>
    </w:pPr>
    <w:rPr>
      <w:rFonts w:ascii="Times New Roman" w:eastAsia="Times New Roman" w:hAnsi="Times New Roman" w:cs="Times New Roman"/>
      <w:b/>
      <w:noProof/>
      <w:sz w:val="40"/>
      <w:szCs w:val="48"/>
    </w:rPr>
  </w:style>
  <w:style w:type="paragraph" w:customStyle="1" w:styleId="SAP-AffiliationLastline">
    <w:name w:val="SAP-Affiliation Last line"/>
    <w:qFormat/>
    <w:rsid w:val="001754AA"/>
    <w:pPr>
      <w:spacing w:after="156" w:line="200" w:lineRule="exact"/>
      <w:jc w:val="center"/>
    </w:pPr>
    <w:rPr>
      <w:rFonts w:ascii="Times New Roman" w:eastAsia="Times New Roman" w:hAnsi="Times New Roman" w:cs="Times New Roman"/>
      <w:kern w:val="2"/>
      <w:sz w:val="18"/>
      <w:szCs w:val="18"/>
      <w:lang w:eastAsia="zh-CN"/>
    </w:rPr>
  </w:style>
  <w:style w:type="paragraph" w:customStyle="1" w:styleId="SAP-KeywordsHeading">
    <w:name w:val="SAP-Keywords Heading"/>
    <w:basedOn w:val="Normal"/>
    <w:link w:val="SAP-KeywordsHeadingChar"/>
    <w:rsid w:val="001754AA"/>
  </w:style>
  <w:style w:type="character" w:customStyle="1" w:styleId="SAP-KeywordsHeadingChar">
    <w:name w:val="SAP-Keywords Heading Char"/>
    <w:link w:val="SAP-KeywordsHeading"/>
    <w:locked/>
    <w:rsid w:val="001754AA"/>
    <w:rPr>
      <w:rFonts w:ascii="Calibri" w:eastAsia="SimSun" w:hAnsi="Calibri" w:cs="Times New Roman"/>
      <w:kern w:val="2"/>
      <w:sz w:val="21"/>
      <w:lang w:eastAsia="zh-CN"/>
    </w:rPr>
  </w:style>
  <w:style w:type="paragraph" w:customStyle="1" w:styleId="SAP-AbstractHeading">
    <w:name w:val="SAP-Abstract Heading"/>
    <w:basedOn w:val="Normal"/>
    <w:link w:val="SAP-AbstractHeadingChar"/>
    <w:rsid w:val="001754AA"/>
  </w:style>
  <w:style w:type="character" w:customStyle="1" w:styleId="SAP-AbstractHeadingChar">
    <w:name w:val="SAP-Abstract Heading Char"/>
    <w:link w:val="SAP-AbstractHeading"/>
    <w:locked/>
    <w:rsid w:val="001754AA"/>
    <w:rPr>
      <w:rFonts w:ascii="Calibri" w:eastAsia="SimSun" w:hAnsi="Calibri" w:cs="Times New Roman"/>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581183">
      <w:bodyDiv w:val="1"/>
      <w:marLeft w:val="0"/>
      <w:marRight w:val="0"/>
      <w:marTop w:val="0"/>
      <w:marBottom w:val="0"/>
      <w:divBdr>
        <w:top w:val="none" w:sz="0" w:space="0" w:color="auto"/>
        <w:left w:val="none" w:sz="0" w:space="0" w:color="auto"/>
        <w:bottom w:val="none" w:sz="0" w:space="0" w:color="auto"/>
        <w:right w:val="none" w:sz="0" w:space="0" w:color="auto"/>
      </w:divBdr>
      <w:divsChild>
        <w:div w:id="546374410">
          <w:marLeft w:val="0"/>
          <w:marRight w:val="0"/>
          <w:marTop w:val="0"/>
          <w:marBottom w:val="15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 Gillian</dc:creator>
  <cp:keywords/>
  <dc:description/>
  <cp:lastModifiedBy>Dr A Gillian</cp:lastModifiedBy>
  <cp:revision>1</cp:revision>
  <dcterms:created xsi:type="dcterms:W3CDTF">2020-01-06T20:48:00Z</dcterms:created>
  <dcterms:modified xsi:type="dcterms:W3CDTF">2020-01-06T20:49:00Z</dcterms:modified>
</cp:coreProperties>
</file>