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7B6" w:rsidRDefault="005D27B6" w:rsidP="005D27B6">
      <w:pPr>
        <w:spacing w:line="360" w:lineRule="auto"/>
        <w:jc w:val="center"/>
        <w:rPr>
          <w:rFonts w:asciiTheme="majorHAnsi" w:hAnsiTheme="majorHAnsi" w:cs="Helvetica"/>
          <w:sz w:val="24"/>
          <w:szCs w:val="24"/>
        </w:rPr>
      </w:pPr>
      <w:proofErr w:type="spellStart"/>
      <w:r w:rsidRPr="005D27B6">
        <w:rPr>
          <w:rStyle w:val="Strong"/>
          <w:rFonts w:asciiTheme="majorHAnsi" w:hAnsiTheme="majorHAnsi"/>
          <w:sz w:val="24"/>
          <w:szCs w:val="24"/>
        </w:rPr>
        <w:t>Biocompsotable</w:t>
      </w:r>
      <w:proofErr w:type="spellEnd"/>
      <w:r w:rsidRPr="005D27B6">
        <w:rPr>
          <w:rStyle w:val="Strong"/>
          <w:rFonts w:asciiTheme="majorHAnsi" w:hAnsiTheme="majorHAnsi"/>
          <w:sz w:val="24"/>
          <w:szCs w:val="24"/>
        </w:rPr>
        <w:t xml:space="preserve"> Packaging is Potential Precursors for Single Use Packaging</w:t>
      </w:r>
      <w:r w:rsidRPr="005D27B6">
        <w:rPr>
          <w:rFonts w:asciiTheme="majorHAnsi" w:hAnsiTheme="majorHAnsi" w:cs="Helvetica"/>
          <w:sz w:val="24"/>
          <w:szCs w:val="24"/>
        </w:rPr>
        <w:br/>
      </w:r>
      <w:proofErr w:type="spellStart"/>
      <w:r w:rsidRPr="005D27B6">
        <w:rPr>
          <w:rFonts w:asciiTheme="majorHAnsi" w:hAnsiTheme="majorHAnsi"/>
          <w:b/>
          <w:sz w:val="24"/>
          <w:szCs w:val="24"/>
        </w:rPr>
        <w:t>Aastha</w:t>
      </w:r>
      <w:proofErr w:type="spellEnd"/>
      <w:r w:rsidRPr="005D27B6">
        <w:rPr>
          <w:rFonts w:asciiTheme="majorHAnsi" w:hAnsiTheme="majorHAnsi"/>
          <w:b/>
          <w:sz w:val="24"/>
          <w:szCs w:val="24"/>
        </w:rPr>
        <w:t xml:space="preserve"> </w:t>
      </w:r>
      <w:proofErr w:type="spellStart"/>
      <w:r w:rsidRPr="005D27B6">
        <w:rPr>
          <w:rFonts w:asciiTheme="majorHAnsi" w:hAnsiTheme="majorHAnsi"/>
          <w:b/>
          <w:sz w:val="24"/>
          <w:szCs w:val="24"/>
        </w:rPr>
        <w:t>Bhardwaj</w:t>
      </w:r>
      <w:r w:rsidRPr="005D27B6">
        <w:rPr>
          <w:rFonts w:asciiTheme="majorHAnsi" w:hAnsiTheme="majorHAnsi"/>
          <w:b/>
          <w:sz w:val="24"/>
          <w:szCs w:val="24"/>
          <w:vertAlign w:val="superscript"/>
        </w:rPr>
        <w:t>a</w:t>
      </w:r>
      <w:proofErr w:type="spellEnd"/>
      <w:r w:rsidRPr="005D27B6">
        <w:rPr>
          <w:rFonts w:asciiTheme="majorHAnsi" w:hAnsiTheme="majorHAnsi"/>
          <w:b/>
          <w:sz w:val="24"/>
          <w:szCs w:val="24"/>
        </w:rPr>
        <w:t>, </w:t>
      </w:r>
      <w:r w:rsidRPr="005D27B6">
        <w:rPr>
          <w:rFonts w:asciiTheme="majorHAnsi" w:hAnsiTheme="majorHAnsi"/>
          <w:b/>
          <w:sz w:val="24"/>
          <w:szCs w:val="24"/>
          <w:u w:val="single"/>
        </w:rPr>
        <w:t xml:space="preserve">Tanweer </w:t>
      </w:r>
      <w:proofErr w:type="spellStart"/>
      <w:r w:rsidRPr="005D27B6">
        <w:rPr>
          <w:rFonts w:asciiTheme="majorHAnsi" w:hAnsiTheme="majorHAnsi"/>
          <w:b/>
          <w:sz w:val="24"/>
          <w:szCs w:val="24"/>
          <w:u w:val="single"/>
        </w:rPr>
        <w:t>Alam</w:t>
      </w:r>
      <w:r w:rsidRPr="005D27B6">
        <w:rPr>
          <w:rFonts w:asciiTheme="majorHAnsi" w:hAnsiTheme="majorHAnsi"/>
          <w:b/>
          <w:sz w:val="24"/>
          <w:szCs w:val="24"/>
          <w:u w:val="single"/>
          <w:vertAlign w:val="superscript"/>
        </w:rPr>
        <w:t>b</w:t>
      </w:r>
      <w:proofErr w:type="spellEnd"/>
      <w:r w:rsidRPr="005D27B6">
        <w:rPr>
          <w:rFonts w:asciiTheme="majorHAnsi" w:hAnsiTheme="majorHAnsi"/>
          <w:b/>
          <w:sz w:val="24"/>
          <w:szCs w:val="24"/>
        </w:rPr>
        <w:t xml:space="preserve"> and </w:t>
      </w:r>
      <w:proofErr w:type="spellStart"/>
      <w:r w:rsidRPr="005D27B6">
        <w:rPr>
          <w:rFonts w:asciiTheme="majorHAnsi" w:hAnsiTheme="majorHAnsi"/>
          <w:b/>
          <w:sz w:val="24"/>
          <w:szCs w:val="24"/>
        </w:rPr>
        <w:t>Hinna</w:t>
      </w:r>
      <w:proofErr w:type="spellEnd"/>
      <w:r w:rsidRPr="005D27B6">
        <w:rPr>
          <w:rFonts w:asciiTheme="majorHAnsi" w:hAnsiTheme="majorHAnsi"/>
          <w:b/>
          <w:sz w:val="24"/>
          <w:szCs w:val="24"/>
        </w:rPr>
        <w:t xml:space="preserve"> </w:t>
      </w:r>
      <w:proofErr w:type="spellStart"/>
      <w:r w:rsidRPr="005D27B6">
        <w:rPr>
          <w:rFonts w:asciiTheme="majorHAnsi" w:hAnsiTheme="majorHAnsi"/>
          <w:b/>
          <w:sz w:val="24"/>
          <w:szCs w:val="24"/>
        </w:rPr>
        <w:t>Hamid</w:t>
      </w:r>
      <w:r w:rsidRPr="005D27B6">
        <w:rPr>
          <w:rFonts w:asciiTheme="majorHAnsi" w:hAnsiTheme="majorHAnsi"/>
          <w:b/>
          <w:sz w:val="24"/>
          <w:szCs w:val="24"/>
          <w:vertAlign w:val="superscript"/>
        </w:rPr>
        <w:t>a</w:t>
      </w:r>
      <w:proofErr w:type="spellEnd"/>
      <w:r w:rsidRPr="005D27B6">
        <w:rPr>
          <w:rFonts w:asciiTheme="majorHAnsi" w:hAnsiTheme="majorHAnsi" w:cs="Helvetica"/>
          <w:b/>
          <w:sz w:val="24"/>
          <w:szCs w:val="24"/>
        </w:rPr>
        <w:br/>
      </w:r>
      <w:proofErr w:type="spellStart"/>
      <w:r w:rsidRPr="005D27B6">
        <w:rPr>
          <w:rFonts w:asciiTheme="majorHAnsi" w:hAnsiTheme="majorHAnsi"/>
          <w:sz w:val="24"/>
          <w:szCs w:val="24"/>
          <w:vertAlign w:val="superscript"/>
        </w:rPr>
        <w:t>a</w:t>
      </w:r>
      <w:r w:rsidRPr="005D27B6">
        <w:rPr>
          <w:rFonts w:asciiTheme="majorHAnsi" w:hAnsiTheme="majorHAnsi"/>
          <w:sz w:val="24"/>
          <w:szCs w:val="24"/>
        </w:rPr>
        <w:t>Jamia</w:t>
      </w:r>
      <w:proofErr w:type="spellEnd"/>
      <w:r w:rsidRPr="005D27B6">
        <w:rPr>
          <w:rFonts w:asciiTheme="majorHAnsi" w:hAnsiTheme="majorHAnsi"/>
          <w:sz w:val="24"/>
          <w:szCs w:val="24"/>
        </w:rPr>
        <w:t xml:space="preserve"> </w:t>
      </w:r>
      <w:proofErr w:type="spellStart"/>
      <w:r w:rsidRPr="005D27B6">
        <w:rPr>
          <w:rFonts w:asciiTheme="majorHAnsi" w:hAnsiTheme="majorHAnsi"/>
          <w:sz w:val="24"/>
          <w:szCs w:val="24"/>
        </w:rPr>
        <w:t>Hamdard</w:t>
      </w:r>
      <w:proofErr w:type="spellEnd"/>
      <w:r w:rsidRPr="005D27B6">
        <w:rPr>
          <w:rFonts w:asciiTheme="majorHAnsi" w:hAnsiTheme="majorHAnsi"/>
          <w:sz w:val="24"/>
          <w:szCs w:val="24"/>
        </w:rPr>
        <w:t>, New Delhi-110062, India</w:t>
      </w:r>
      <w:r w:rsidRPr="005D27B6">
        <w:rPr>
          <w:rFonts w:asciiTheme="majorHAnsi" w:hAnsiTheme="majorHAnsi" w:cs="Helvetica"/>
          <w:sz w:val="24"/>
          <w:szCs w:val="24"/>
        </w:rPr>
        <w:br/>
      </w:r>
      <w:proofErr w:type="spellStart"/>
      <w:r w:rsidRPr="005D27B6">
        <w:rPr>
          <w:rFonts w:asciiTheme="majorHAnsi" w:hAnsiTheme="majorHAnsi"/>
          <w:sz w:val="24"/>
          <w:szCs w:val="24"/>
          <w:vertAlign w:val="superscript"/>
        </w:rPr>
        <w:t>b</w:t>
      </w:r>
      <w:r w:rsidRPr="005D27B6">
        <w:rPr>
          <w:rFonts w:asciiTheme="majorHAnsi" w:hAnsiTheme="majorHAnsi"/>
          <w:sz w:val="24"/>
          <w:szCs w:val="24"/>
        </w:rPr>
        <w:t>Indian</w:t>
      </w:r>
      <w:proofErr w:type="spellEnd"/>
      <w:r w:rsidRPr="005D27B6">
        <w:rPr>
          <w:rFonts w:asciiTheme="majorHAnsi" w:hAnsiTheme="majorHAnsi"/>
          <w:sz w:val="24"/>
          <w:szCs w:val="24"/>
        </w:rPr>
        <w:t xml:space="preserve"> Institute of Packaging, Delhi-110092, </w:t>
      </w:r>
      <w:proofErr w:type="gramStart"/>
      <w:r w:rsidRPr="005D27B6">
        <w:rPr>
          <w:rFonts w:asciiTheme="majorHAnsi" w:hAnsiTheme="majorHAnsi"/>
          <w:sz w:val="24"/>
          <w:szCs w:val="24"/>
        </w:rPr>
        <w:t>India</w:t>
      </w:r>
      <w:proofErr w:type="gramEnd"/>
      <w:r w:rsidRPr="005D27B6">
        <w:rPr>
          <w:rFonts w:asciiTheme="majorHAnsi" w:hAnsiTheme="majorHAnsi" w:cs="Helvetica"/>
          <w:sz w:val="24"/>
          <w:szCs w:val="24"/>
        </w:rPr>
        <w:br/>
        <w:t> </w:t>
      </w:r>
    </w:p>
    <w:p w:rsidR="005D27B6" w:rsidRDefault="005D27B6" w:rsidP="005D27B6">
      <w:pPr>
        <w:spacing w:line="360" w:lineRule="auto"/>
        <w:jc w:val="center"/>
        <w:rPr>
          <w:rFonts w:asciiTheme="majorHAnsi" w:hAnsiTheme="majorHAnsi" w:cs="Helvetica"/>
          <w:sz w:val="24"/>
          <w:szCs w:val="24"/>
        </w:rPr>
      </w:pPr>
    </w:p>
    <w:p w:rsidR="007832C6" w:rsidRPr="005D27B6" w:rsidRDefault="005D27B6" w:rsidP="005D27B6">
      <w:pPr>
        <w:spacing w:line="360" w:lineRule="auto"/>
        <w:jc w:val="both"/>
        <w:rPr>
          <w:rFonts w:asciiTheme="majorHAnsi" w:hAnsiTheme="majorHAnsi"/>
          <w:b/>
          <w:bCs/>
          <w:sz w:val="24"/>
          <w:szCs w:val="24"/>
        </w:rPr>
      </w:pPr>
      <w:r w:rsidRPr="005D27B6">
        <w:rPr>
          <w:rFonts w:asciiTheme="majorHAnsi" w:hAnsiTheme="majorHAnsi" w:cs="Helvetica"/>
          <w:b/>
          <w:sz w:val="24"/>
          <w:szCs w:val="24"/>
        </w:rPr>
        <w:t>Abstract</w:t>
      </w:r>
      <w:r w:rsidRPr="005D27B6">
        <w:rPr>
          <w:rFonts w:asciiTheme="majorHAnsi" w:hAnsiTheme="majorHAnsi" w:cs="Helvetica"/>
          <w:sz w:val="24"/>
          <w:szCs w:val="24"/>
        </w:rPr>
        <w:br/>
      </w:r>
      <w:r w:rsidRPr="005D27B6">
        <w:rPr>
          <w:rFonts w:asciiTheme="majorHAnsi" w:hAnsiTheme="majorHAnsi"/>
          <w:sz w:val="24"/>
          <w:szCs w:val="24"/>
        </w:rPr>
        <w:t>Plastics have become a part of everyone’s life and Indians are no exception. However, the per capita plastic consumption in India is much lower (11 kg per capita per annum) as compared to the global average (28 kg), and per capita consumption in developed countries such as USA (139 kg) and the European Union (65 kg). At the same time, the Indian plastics industry’s growth rate is one of the highest in the world and, due to rapidly expanding incomes, the per capita consumption of plastic is likely to increase. </w:t>
      </w:r>
      <w:r w:rsidRPr="005D27B6">
        <w:rPr>
          <w:rFonts w:asciiTheme="majorHAnsi" w:hAnsiTheme="majorHAnsi"/>
          <w:spacing w:val="-1"/>
          <w:sz w:val="24"/>
          <w:szCs w:val="24"/>
          <w:shd w:val="clear" w:color="auto" w:fill="FFFFFF"/>
        </w:rPr>
        <w:t>Continuous technological innovations over a period of time have shaped the evolution of </w:t>
      </w:r>
      <w:r w:rsidRPr="005D27B6">
        <w:rPr>
          <w:rFonts w:asciiTheme="majorHAnsi" w:hAnsiTheme="majorHAnsi"/>
          <w:sz w:val="24"/>
          <w:szCs w:val="24"/>
        </w:rPr>
        <w:t>food</w:t>
      </w:r>
      <w:r w:rsidRPr="005D27B6">
        <w:rPr>
          <w:rFonts w:asciiTheme="majorHAnsi" w:hAnsiTheme="majorHAnsi"/>
          <w:spacing w:val="-1"/>
          <w:sz w:val="24"/>
          <w:szCs w:val="24"/>
          <w:shd w:val="clear" w:color="auto" w:fill="FFFFFF"/>
        </w:rPr>
        <w:t> packaging</w:t>
      </w:r>
      <w:r w:rsidRPr="005D27B6">
        <w:rPr>
          <w:rFonts w:asciiTheme="majorHAnsi" w:hAnsiTheme="majorHAnsi"/>
          <w:sz w:val="24"/>
          <w:szCs w:val="24"/>
        </w:rPr>
        <w:t>. F</w:t>
      </w:r>
      <w:r w:rsidRPr="005D27B6">
        <w:rPr>
          <w:rFonts w:asciiTheme="majorHAnsi" w:hAnsiTheme="majorHAnsi"/>
          <w:sz w:val="24"/>
          <w:szCs w:val="24"/>
          <w:shd w:val="clear" w:color="auto" w:fill="FFFFFF"/>
        </w:rPr>
        <w:t>inding environmentally friendly and sustainable alternatives </w:t>
      </w:r>
      <w:r w:rsidRPr="005D27B6">
        <w:rPr>
          <w:rFonts w:asciiTheme="majorHAnsi" w:hAnsiTheme="majorHAnsi"/>
          <w:sz w:val="24"/>
          <w:szCs w:val="24"/>
        </w:rPr>
        <w:t>for food packaging materials has </w:t>
      </w:r>
      <w:r w:rsidRPr="005D27B6">
        <w:rPr>
          <w:rFonts w:asciiTheme="majorHAnsi" w:hAnsiTheme="majorHAnsi"/>
          <w:sz w:val="24"/>
          <w:szCs w:val="24"/>
          <w:shd w:val="clear" w:color="auto" w:fill="FFFFFF"/>
        </w:rPr>
        <w:t>become necessary as </w:t>
      </w:r>
      <w:r w:rsidRPr="005D27B6">
        <w:rPr>
          <w:rFonts w:asciiTheme="majorHAnsi" w:hAnsiTheme="majorHAnsi"/>
          <w:sz w:val="24"/>
          <w:szCs w:val="24"/>
        </w:rPr>
        <w:t xml:space="preserve">there are a number of limitations for usage of petroleum based polymers as food packaging materials. This review article encompasses an elaborate account and latest prior-art on the potential of various natural </w:t>
      </w:r>
      <w:proofErr w:type="spellStart"/>
      <w:r w:rsidRPr="005D27B6">
        <w:rPr>
          <w:rFonts w:asciiTheme="majorHAnsi" w:hAnsiTheme="majorHAnsi"/>
          <w:sz w:val="24"/>
          <w:szCs w:val="24"/>
        </w:rPr>
        <w:t>fiber</w:t>
      </w:r>
      <w:proofErr w:type="spellEnd"/>
      <w:r w:rsidRPr="005D27B6">
        <w:rPr>
          <w:rFonts w:asciiTheme="majorHAnsi" w:hAnsiTheme="majorHAnsi"/>
          <w:sz w:val="24"/>
          <w:szCs w:val="24"/>
        </w:rPr>
        <w:t xml:space="preserve"> sources used for packaging applications. It provides an overview of use and future trends of biodegradable packaging and possibilities for the use of agricultural wastes such as sugarcane </w:t>
      </w:r>
      <w:proofErr w:type="spellStart"/>
      <w:r w:rsidRPr="005D27B6">
        <w:rPr>
          <w:rFonts w:asciiTheme="majorHAnsi" w:hAnsiTheme="majorHAnsi"/>
          <w:sz w:val="24"/>
          <w:szCs w:val="24"/>
        </w:rPr>
        <w:t>bagasse</w:t>
      </w:r>
      <w:proofErr w:type="spellEnd"/>
      <w:r w:rsidRPr="005D27B6">
        <w:rPr>
          <w:rFonts w:asciiTheme="majorHAnsi" w:hAnsiTheme="majorHAnsi"/>
          <w:sz w:val="24"/>
          <w:szCs w:val="24"/>
        </w:rPr>
        <w:t xml:space="preserve">, buckwheat hulls, rice straw, wheat straw, coconut coir, corn stalks etc which are produced in bulk, are non-toxic, biodegradable, as sustainable strong alternative renewable sources for food packaging applications. Various natural </w:t>
      </w:r>
      <w:proofErr w:type="spellStart"/>
      <w:r w:rsidRPr="005D27B6">
        <w:rPr>
          <w:rFonts w:asciiTheme="majorHAnsi" w:hAnsiTheme="majorHAnsi"/>
          <w:sz w:val="24"/>
          <w:szCs w:val="24"/>
        </w:rPr>
        <w:t>fibers</w:t>
      </w:r>
      <w:proofErr w:type="spellEnd"/>
      <w:r>
        <w:rPr>
          <w:rFonts w:asciiTheme="majorHAnsi" w:hAnsiTheme="majorHAnsi"/>
          <w:sz w:val="24"/>
          <w:szCs w:val="24"/>
        </w:rPr>
        <w:t xml:space="preserve"> could be used</w:t>
      </w:r>
      <w:r w:rsidRPr="005D27B6">
        <w:rPr>
          <w:rFonts w:asciiTheme="majorHAnsi" w:hAnsiTheme="majorHAnsi"/>
          <w:sz w:val="24"/>
          <w:szCs w:val="24"/>
        </w:rPr>
        <w:t xml:space="preserve"> as alternative sources for food packaging applications. It also raises concerns and addresses the future headway in sustainable packaging materials from agricultural by-products/wastes. Many possible explorations based on compostable ago based packaging system to address the challenge of plastic based single use packaging.</w:t>
      </w:r>
    </w:p>
    <w:sectPr w:rsidR="007832C6" w:rsidRPr="005D27B6" w:rsidSect="007832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D27B6"/>
    <w:rsid w:val="005D27B6"/>
    <w:rsid w:val="00677D55"/>
    <w:rsid w:val="007832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029"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2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D27B6"/>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1661</Characters>
  <Application>Microsoft Office Word</Application>
  <DocSecurity>0</DocSecurity>
  <Lines>13</Lines>
  <Paragraphs>3</Paragraphs>
  <ScaleCrop>false</ScaleCrop>
  <Company>Hewlett-Packard Company</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Joint-director</dc:creator>
  <cp:lastModifiedBy>Joint-director</cp:lastModifiedBy>
  <cp:revision>2</cp:revision>
  <dcterms:created xsi:type="dcterms:W3CDTF">2019-03-11T12:28:00Z</dcterms:created>
  <dcterms:modified xsi:type="dcterms:W3CDTF">2019-03-11T12:28:00Z</dcterms:modified>
</cp:coreProperties>
</file>