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848" w:rsidRDefault="00C57848" w:rsidP="00C57848">
      <w:pPr>
        <w:jc w:val="both"/>
        <w:rPr>
          <w:sz w:val="22"/>
          <w:szCs w:val="22"/>
          <w:lang w:val="en-GB"/>
        </w:rPr>
      </w:pPr>
      <w:r>
        <w:rPr>
          <w:sz w:val="22"/>
          <w:szCs w:val="22"/>
          <w:lang w:val="en-GB"/>
        </w:rPr>
        <w:t xml:space="preserve">                                                                                                                       </w:t>
      </w:r>
      <w:r w:rsidR="006A449C" w:rsidRPr="006A449C">
        <w:rPr>
          <w:noProof/>
          <w:sz w:val="22"/>
          <w:szCs w:val="22"/>
          <w:lang w:val="en-IN" w:eastAsia="en-IN"/>
        </w:rPr>
        <w:drawing>
          <wp:inline distT="0" distB="0" distL="0" distR="0">
            <wp:extent cx="1311607" cy="1444483"/>
            <wp:effectExtent l="19050" t="0" r="2843" b="0"/>
            <wp:docPr id="2" name="Picture 1" descr="G:\Documentss\DS Photo\DS-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ocumentss\DS Photo\DS-PIC.jpg"/>
                    <pic:cNvPicPr>
                      <a:picLocks noChangeAspect="1" noChangeArrowheads="1"/>
                    </pic:cNvPicPr>
                  </pic:nvPicPr>
                  <pic:blipFill>
                    <a:blip r:embed="rId4" cstate="print"/>
                    <a:srcRect/>
                    <a:stretch>
                      <a:fillRect/>
                    </a:stretch>
                  </pic:blipFill>
                  <pic:spPr bwMode="auto">
                    <a:xfrm>
                      <a:off x="0" y="0"/>
                      <a:ext cx="1315785" cy="1449084"/>
                    </a:xfrm>
                    <a:prstGeom prst="rect">
                      <a:avLst/>
                    </a:prstGeom>
                    <a:noFill/>
                    <a:ln w="9525">
                      <a:noFill/>
                      <a:miter lim="800000"/>
                      <a:headEnd/>
                      <a:tailEnd/>
                    </a:ln>
                  </pic:spPr>
                </pic:pic>
              </a:graphicData>
            </a:graphic>
          </wp:inline>
        </w:drawing>
      </w:r>
    </w:p>
    <w:p w:rsidR="00C57848" w:rsidRPr="002E3CCC" w:rsidRDefault="00C57848" w:rsidP="00C57848">
      <w:pPr>
        <w:pStyle w:val="Heading1"/>
        <w:rPr>
          <w:rFonts w:eastAsia="MS PGothic"/>
          <w:b w:val="0"/>
          <w:color w:val="000000"/>
          <w:sz w:val="28"/>
          <w:szCs w:val="28"/>
        </w:rPr>
      </w:pPr>
      <w:r>
        <w:rPr>
          <w:rFonts w:eastAsia="MS PGothic"/>
          <w:b w:val="0"/>
          <w:color w:val="000000"/>
          <w:sz w:val="28"/>
          <w:szCs w:val="28"/>
        </w:rPr>
        <w:t xml:space="preserve">Title: Management of </w:t>
      </w:r>
      <w:r w:rsidRPr="002E3CCC">
        <w:rPr>
          <w:rFonts w:eastAsia="MS PGothic"/>
          <w:b w:val="0"/>
          <w:color w:val="000000"/>
          <w:sz w:val="28"/>
          <w:szCs w:val="28"/>
        </w:rPr>
        <w:t>postharvest pathogens of mandarin orange (</w:t>
      </w:r>
      <w:r w:rsidRPr="002E3CCC">
        <w:rPr>
          <w:rFonts w:eastAsia="MS PGothic"/>
          <w:b w:val="0"/>
          <w:i/>
          <w:color w:val="000000"/>
          <w:sz w:val="28"/>
          <w:szCs w:val="28"/>
        </w:rPr>
        <w:t xml:space="preserve">Citrus </w:t>
      </w:r>
      <w:proofErr w:type="spellStart"/>
      <w:r w:rsidRPr="002E3CCC">
        <w:rPr>
          <w:rFonts w:eastAsia="MS PGothic"/>
          <w:b w:val="0"/>
          <w:i/>
          <w:color w:val="000000"/>
          <w:sz w:val="28"/>
          <w:szCs w:val="28"/>
        </w:rPr>
        <w:t>reticulata</w:t>
      </w:r>
      <w:proofErr w:type="spellEnd"/>
      <w:r w:rsidRPr="002E3CCC">
        <w:rPr>
          <w:rFonts w:eastAsia="MS PGothic"/>
          <w:b w:val="0"/>
          <w:color w:val="000000"/>
          <w:sz w:val="28"/>
          <w:szCs w:val="28"/>
        </w:rPr>
        <w:t xml:space="preserve"> Blanco)</w:t>
      </w:r>
      <w:r w:rsidR="002E3CCC">
        <w:rPr>
          <w:rFonts w:eastAsia="MS PGothic"/>
          <w:b w:val="0"/>
          <w:color w:val="000000"/>
          <w:sz w:val="28"/>
          <w:szCs w:val="28"/>
        </w:rPr>
        <w:t xml:space="preserve"> by crude and purified leaf extracts of </w:t>
      </w:r>
      <w:r w:rsidR="002E3CCC" w:rsidRPr="002E3CCC">
        <w:rPr>
          <w:rFonts w:eastAsia="MS PGothic"/>
          <w:b w:val="0"/>
          <w:i/>
          <w:color w:val="000000"/>
          <w:sz w:val="28"/>
          <w:szCs w:val="28"/>
        </w:rPr>
        <w:t xml:space="preserve">Xanthium </w:t>
      </w:r>
      <w:proofErr w:type="spellStart"/>
      <w:r w:rsidR="002E3CCC" w:rsidRPr="002E3CCC">
        <w:rPr>
          <w:rFonts w:eastAsia="MS PGothic"/>
          <w:b w:val="0"/>
          <w:i/>
          <w:color w:val="000000"/>
          <w:sz w:val="28"/>
          <w:szCs w:val="28"/>
        </w:rPr>
        <w:t>strumarium</w:t>
      </w:r>
      <w:proofErr w:type="spellEnd"/>
      <w:r w:rsidR="002E3CCC">
        <w:rPr>
          <w:rFonts w:eastAsia="MS PGothic"/>
          <w:b w:val="0"/>
          <w:color w:val="000000"/>
          <w:sz w:val="28"/>
          <w:szCs w:val="28"/>
        </w:rPr>
        <w:t>.</w:t>
      </w:r>
    </w:p>
    <w:p w:rsidR="00C57848" w:rsidRDefault="00C57848" w:rsidP="00C57848">
      <w:pPr>
        <w:rPr>
          <w:rFonts w:eastAsia="MS PGothic"/>
          <w:b/>
          <w:color w:val="000000"/>
          <w:sz w:val="28"/>
          <w:szCs w:val="28"/>
        </w:rPr>
      </w:pPr>
    </w:p>
    <w:p w:rsidR="002E3CCC" w:rsidRDefault="00C57848" w:rsidP="002E3CCC">
      <w:pPr>
        <w:jc w:val="center"/>
        <w:rPr>
          <w:rFonts w:eastAsia="MS PGothic" w:hAnsi="Arial"/>
          <w:color w:val="000000"/>
        </w:rPr>
      </w:pPr>
      <w:r>
        <w:rPr>
          <w:rFonts w:eastAsia="MS PGothic" w:hAnsi="Arial"/>
          <w:color w:val="000000"/>
        </w:rPr>
        <w:t xml:space="preserve">Name: </w:t>
      </w:r>
      <w:r w:rsidR="002E3CCC" w:rsidRPr="005C1689">
        <w:rPr>
          <w:rFonts w:eastAsia="MS PGothic" w:hAnsi="Arial"/>
          <w:b/>
          <w:color w:val="000000"/>
        </w:rPr>
        <w:t>Dipanwita Saha</w:t>
      </w:r>
      <w:r w:rsidR="002E3CCC">
        <w:rPr>
          <w:rFonts w:eastAsia="MS PGothic" w:hAnsi="Arial"/>
          <w:color w:val="000000"/>
        </w:rPr>
        <w:t xml:space="preserve">, Sankar Ghosh, </w:t>
      </w:r>
      <w:r w:rsidR="00993AC5">
        <w:rPr>
          <w:rFonts w:eastAsia="MS PGothic" w:hAnsi="Arial"/>
          <w:color w:val="000000"/>
        </w:rPr>
        <w:t xml:space="preserve">Ramashish Kumar, </w:t>
      </w:r>
      <w:r w:rsidR="002E3CCC">
        <w:rPr>
          <w:rFonts w:eastAsia="MS PGothic" w:hAnsi="Arial"/>
          <w:color w:val="000000"/>
        </w:rPr>
        <w:t>Aniruddha Saha</w:t>
      </w:r>
    </w:p>
    <w:p w:rsidR="00C57848" w:rsidRDefault="002E3CCC" w:rsidP="002E3CCC">
      <w:pPr>
        <w:jc w:val="center"/>
        <w:rPr>
          <w:rFonts w:eastAsia="MS PGothic" w:hAnsi="Arial"/>
          <w:color w:val="000000"/>
        </w:rPr>
      </w:pPr>
      <w:r>
        <w:rPr>
          <w:rFonts w:eastAsia="MS PGothic" w:hAnsi="Arial"/>
          <w:color w:val="000000"/>
        </w:rPr>
        <w:t>University of North Bengal, Siliguri-734013, District: Darjeeling, India.</w:t>
      </w:r>
      <w:r w:rsidR="005C1689">
        <w:rPr>
          <w:rFonts w:eastAsia="MS PGothic" w:hAnsi="Arial"/>
          <w:color w:val="000000"/>
        </w:rPr>
        <w:t xml:space="preserve"> E-mail: dsahanbu@yahoo.com</w:t>
      </w:r>
    </w:p>
    <w:p w:rsidR="00C57848" w:rsidRDefault="00C57848" w:rsidP="00C57848">
      <w:pPr>
        <w:jc w:val="center"/>
        <w:rPr>
          <w:rFonts w:eastAsia="Batang"/>
          <w:color w:val="0000FF"/>
          <w:sz w:val="36"/>
          <w:szCs w:val="36"/>
        </w:rPr>
      </w:pPr>
    </w:p>
    <w:p w:rsidR="00AB390D" w:rsidRPr="0011561F" w:rsidRDefault="002E3CCC" w:rsidP="0011561F">
      <w:pPr>
        <w:ind w:firstLine="720"/>
        <w:jc w:val="both"/>
        <w:rPr>
          <w:color w:val="000000"/>
        </w:rPr>
      </w:pPr>
      <w:r w:rsidRPr="002E3CCC">
        <w:rPr>
          <w:color w:val="000000"/>
        </w:rPr>
        <w:t>The mandarine orange (</w:t>
      </w:r>
      <w:r w:rsidRPr="002E3CCC">
        <w:rPr>
          <w:i/>
          <w:color w:val="000000"/>
        </w:rPr>
        <w:t>Citrus reticulata</w:t>
      </w:r>
      <w:r w:rsidRPr="002E3CCC">
        <w:rPr>
          <w:color w:val="000000"/>
        </w:rPr>
        <w:t xml:space="preserve"> Blanco) is an economically important plantation crop of Darjeeling, Sikkim, Assam, Meghalaya and Manipur states of India. </w:t>
      </w:r>
      <w:r>
        <w:rPr>
          <w:color w:val="000000"/>
        </w:rPr>
        <w:t xml:space="preserve">The fruit is characterised by tight skin, good quality and excellent flavour. </w:t>
      </w:r>
      <w:r w:rsidR="00993AC5">
        <w:rPr>
          <w:color w:val="000000"/>
        </w:rPr>
        <w:t xml:space="preserve">However, </w:t>
      </w:r>
      <w:r w:rsidR="006400D1">
        <w:rPr>
          <w:color w:val="000000"/>
        </w:rPr>
        <w:t>harvested oranges</w:t>
      </w:r>
      <w:r w:rsidR="00E937EB">
        <w:rPr>
          <w:color w:val="000000"/>
        </w:rPr>
        <w:t xml:space="preserve"> </w:t>
      </w:r>
      <w:r w:rsidR="006400D1">
        <w:rPr>
          <w:color w:val="000000"/>
        </w:rPr>
        <w:t>are</w:t>
      </w:r>
      <w:r w:rsidR="00E937EB">
        <w:rPr>
          <w:color w:val="000000"/>
        </w:rPr>
        <w:t xml:space="preserve"> susceptible to </w:t>
      </w:r>
      <w:r w:rsidR="00993AC5">
        <w:rPr>
          <w:color w:val="000000"/>
        </w:rPr>
        <w:t xml:space="preserve">attack by </w:t>
      </w:r>
      <w:r w:rsidR="006400D1">
        <w:rPr>
          <w:color w:val="000000"/>
        </w:rPr>
        <w:t xml:space="preserve">the </w:t>
      </w:r>
      <w:r w:rsidR="00993AC5">
        <w:rPr>
          <w:color w:val="000000"/>
        </w:rPr>
        <w:t xml:space="preserve">fungal pathogen </w:t>
      </w:r>
      <w:r w:rsidR="00993AC5" w:rsidRPr="00993AC5">
        <w:rPr>
          <w:i/>
          <w:color w:val="000000"/>
        </w:rPr>
        <w:t>Fusarium moniliforme</w:t>
      </w:r>
      <w:r w:rsidR="00993AC5">
        <w:rPr>
          <w:color w:val="000000"/>
        </w:rPr>
        <w:t xml:space="preserve"> and </w:t>
      </w:r>
      <w:r w:rsidR="006400D1">
        <w:rPr>
          <w:color w:val="000000"/>
        </w:rPr>
        <w:t xml:space="preserve">bacterial pathogen </w:t>
      </w:r>
      <w:r w:rsidR="006400D1" w:rsidRPr="006400D1">
        <w:rPr>
          <w:i/>
          <w:color w:val="000000"/>
        </w:rPr>
        <w:t>Xanthomonas</w:t>
      </w:r>
      <w:r w:rsidR="006400D1">
        <w:rPr>
          <w:color w:val="000000"/>
        </w:rPr>
        <w:t xml:space="preserve"> </w:t>
      </w:r>
      <w:r w:rsidR="006400D1" w:rsidRPr="006400D1">
        <w:rPr>
          <w:i/>
          <w:color w:val="000000"/>
        </w:rPr>
        <w:t>citri</w:t>
      </w:r>
      <w:r w:rsidR="006400D1">
        <w:rPr>
          <w:color w:val="000000"/>
        </w:rPr>
        <w:t xml:space="preserve">. </w:t>
      </w:r>
      <w:r w:rsidR="00993AC5">
        <w:rPr>
          <w:color w:val="000000"/>
        </w:rPr>
        <w:t xml:space="preserve">The aim of this study was to develop an eco-friendly alternative to </w:t>
      </w:r>
      <w:r w:rsidR="00AB390D">
        <w:rPr>
          <w:color w:val="000000"/>
        </w:rPr>
        <w:t xml:space="preserve">harmful </w:t>
      </w:r>
      <w:r w:rsidR="00993AC5">
        <w:rPr>
          <w:color w:val="000000"/>
        </w:rPr>
        <w:t>chemical fungicides</w:t>
      </w:r>
      <w:r w:rsidR="00AB390D">
        <w:rPr>
          <w:color w:val="000000"/>
        </w:rPr>
        <w:t xml:space="preserve"> that would </w:t>
      </w:r>
      <w:r w:rsidR="006400D1">
        <w:rPr>
          <w:color w:val="000000"/>
        </w:rPr>
        <w:t>control</w:t>
      </w:r>
      <w:r w:rsidR="00AB390D">
        <w:rPr>
          <w:color w:val="000000"/>
        </w:rPr>
        <w:t xml:space="preserve"> </w:t>
      </w:r>
      <w:r w:rsidR="006400D1">
        <w:rPr>
          <w:color w:val="000000"/>
        </w:rPr>
        <w:t xml:space="preserve">the </w:t>
      </w:r>
      <w:r w:rsidR="00AB390D">
        <w:rPr>
          <w:color w:val="000000"/>
        </w:rPr>
        <w:t xml:space="preserve">post harvest </w:t>
      </w:r>
      <w:r w:rsidR="006400D1">
        <w:rPr>
          <w:color w:val="000000"/>
        </w:rPr>
        <w:t>diseases</w:t>
      </w:r>
      <w:r w:rsidR="00AB390D">
        <w:rPr>
          <w:color w:val="000000"/>
        </w:rPr>
        <w:t>.</w:t>
      </w:r>
      <w:r w:rsidR="0011561F">
        <w:rPr>
          <w:color w:val="000000"/>
        </w:rPr>
        <w:t xml:space="preserve"> </w:t>
      </w:r>
      <w:r w:rsidR="00AB390D" w:rsidRPr="0079059B">
        <w:t>Two antifungal compounds (</w:t>
      </w:r>
      <w:r w:rsidR="00AB390D" w:rsidRPr="0079059B">
        <w:rPr>
          <w:b/>
        </w:rPr>
        <w:t>1</w:t>
      </w:r>
      <w:r w:rsidR="00AB390D" w:rsidRPr="0079059B">
        <w:t xml:space="preserve"> and </w:t>
      </w:r>
      <w:r w:rsidR="00AB390D" w:rsidRPr="0079059B">
        <w:rPr>
          <w:b/>
        </w:rPr>
        <w:t>2</w:t>
      </w:r>
      <w:r w:rsidR="00AB390D" w:rsidRPr="0079059B">
        <w:t xml:space="preserve">) were purified by bioassay guided fractionation from dichloromethane extract of adult leaves from </w:t>
      </w:r>
      <w:r w:rsidR="00AB390D" w:rsidRPr="0079059B">
        <w:rPr>
          <w:i/>
        </w:rPr>
        <w:t>Xanthium strumarium</w:t>
      </w:r>
      <w:r w:rsidR="00AB390D" w:rsidRPr="0079059B">
        <w:t xml:space="preserve"> L. (English: Cocklebur, Family: Asteraceae) which is a common weed found abundantly throughout the world. The compounds characterized as sesquiterpene lactones were purified by repeated silica gel column chromatography and their structures were elucidated by IR, NMR (</w:t>
      </w:r>
      <w:r w:rsidR="00AB390D" w:rsidRPr="0079059B">
        <w:rPr>
          <w:vertAlign w:val="superscript"/>
        </w:rPr>
        <w:t>1</w:t>
      </w:r>
      <w:r w:rsidR="00AB390D" w:rsidRPr="0079059B">
        <w:t xml:space="preserve">H and </w:t>
      </w:r>
      <w:r w:rsidR="00AB390D" w:rsidRPr="0079059B">
        <w:rPr>
          <w:vertAlign w:val="superscript"/>
        </w:rPr>
        <w:t>13</w:t>
      </w:r>
      <w:r w:rsidR="00AB390D" w:rsidRPr="0079059B">
        <w:t>C) and ESI-MS spectroscopy data analysis. The compounds were identified as 8</w:t>
      </w:r>
      <w:r w:rsidR="00AB390D" w:rsidRPr="0079059B">
        <w:rPr>
          <w:i/>
        </w:rPr>
        <w:t>-epi-</w:t>
      </w:r>
      <w:r w:rsidR="00AB390D" w:rsidRPr="0079059B">
        <w:t>xanthatin (</w:t>
      </w:r>
      <w:r w:rsidR="00AB390D" w:rsidRPr="0079059B">
        <w:rPr>
          <w:b/>
        </w:rPr>
        <w:t>1</w:t>
      </w:r>
      <w:r w:rsidR="00AB390D" w:rsidRPr="0079059B">
        <w:t>) and 8</w:t>
      </w:r>
      <w:r w:rsidR="00AB390D" w:rsidRPr="0079059B">
        <w:rPr>
          <w:i/>
        </w:rPr>
        <w:t>-epi-</w:t>
      </w:r>
      <w:r w:rsidR="00AB390D" w:rsidRPr="0079059B">
        <w:t>xanthatin-1β, 5β-epoxide (</w:t>
      </w:r>
      <w:r w:rsidR="00AB390D" w:rsidRPr="0079059B">
        <w:rPr>
          <w:b/>
        </w:rPr>
        <w:t>2</w:t>
      </w:r>
      <w:r w:rsidR="00AB390D" w:rsidRPr="0079059B">
        <w:t xml:space="preserve">). </w:t>
      </w:r>
      <w:r w:rsidR="00AB390D" w:rsidRPr="0079059B">
        <w:rPr>
          <w:i/>
        </w:rPr>
        <w:t>In vitro</w:t>
      </w:r>
      <w:r w:rsidR="00AB390D" w:rsidRPr="0079059B">
        <w:t xml:space="preserve"> </w:t>
      </w:r>
      <w:r w:rsidR="006A449C" w:rsidRPr="0079059B">
        <w:t>antifungal</w:t>
      </w:r>
      <w:r w:rsidR="006A449C">
        <w:t xml:space="preserve"> and</w:t>
      </w:r>
      <w:r w:rsidR="006A449C" w:rsidRPr="0079059B">
        <w:t xml:space="preserve"> </w:t>
      </w:r>
      <w:r w:rsidR="006A449C">
        <w:t>antibacterial</w:t>
      </w:r>
      <w:r w:rsidR="006A449C" w:rsidRPr="0079059B">
        <w:t xml:space="preserve"> activity </w:t>
      </w:r>
      <w:r w:rsidR="00AB390D" w:rsidRPr="0079059B">
        <w:t xml:space="preserve">was tested by agar diffusion and micro-dilution bioassay methods. While both compounds showed strong </w:t>
      </w:r>
      <w:r w:rsidR="00573F30">
        <w:t xml:space="preserve">antagonistic </w:t>
      </w:r>
      <w:r w:rsidR="00ED0590">
        <w:t>activity against bacterial and fungal</w:t>
      </w:r>
      <w:r w:rsidR="00AB390D" w:rsidRPr="0079059B">
        <w:t xml:space="preserve"> pathogens, </w:t>
      </w:r>
      <w:r w:rsidR="00AB390D" w:rsidRPr="0079059B">
        <w:rPr>
          <w:b/>
        </w:rPr>
        <w:t>1</w:t>
      </w:r>
      <w:r w:rsidR="00AB390D" w:rsidRPr="0079059B">
        <w:t xml:space="preserve"> exhibited higher activity than </w:t>
      </w:r>
      <w:r w:rsidR="00AB390D" w:rsidRPr="0079059B">
        <w:rPr>
          <w:b/>
        </w:rPr>
        <w:t>2</w:t>
      </w:r>
      <w:r w:rsidR="00AB390D" w:rsidRPr="0079059B">
        <w:t xml:space="preserve">.  The purified compounds and the crude extract were further tested for their ability to control diseases in </w:t>
      </w:r>
      <w:r w:rsidR="00ED0590">
        <w:t>oranges</w:t>
      </w:r>
      <w:r w:rsidR="00AB390D" w:rsidRPr="0079059B">
        <w:t xml:space="preserve"> </w:t>
      </w:r>
      <w:r w:rsidR="00573F30">
        <w:t xml:space="preserve">caused by </w:t>
      </w:r>
      <w:r w:rsidR="00573F30" w:rsidRPr="00993AC5">
        <w:rPr>
          <w:i/>
          <w:color w:val="000000"/>
        </w:rPr>
        <w:t>F</w:t>
      </w:r>
      <w:r w:rsidR="00573F30">
        <w:rPr>
          <w:i/>
          <w:color w:val="000000"/>
        </w:rPr>
        <w:t>.</w:t>
      </w:r>
      <w:r w:rsidR="00573F30" w:rsidRPr="00993AC5">
        <w:rPr>
          <w:i/>
          <w:color w:val="000000"/>
        </w:rPr>
        <w:t xml:space="preserve"> moniliforme</w:t>
      </w:r>
      <w:r w:rsidR="00573F30">
        <w:rPr>
          <w:color w:val="000000"/>
        </w:rPr>
        <w:t xml:space="preserve"> and </w:t>
      </w:r>
      <w:r w:rsidR="00573F30" w:rsidRPr="006400D1">
        <w:rPr>
          <w:i/>
          <w:color w:val="000000"/>
        </w:rPr>
        <w:t>X</w:t>
      </w:r>
      <w:r w:rsidR="00573F30">
        <w:rPr>
          <w:i/>
          <w:color w:val="000000"/>
        </w:rPr>
        <w:t>.</w:t>
      </w:r>
      <w:r w:rsidR="00573F30">
        <w:rPr>
          <w:color w:val="000000"/>
        </w:rPr>
        <w:t xml:space="preserve"> </w:t>
      </w:r>
      <w:r w:rsidR="00573F30" w:rsidRPr="006400D1">
        <w:rPr>
          <w:i/>
          <w:color w:val="000000"/>
        </w:rPr>
        <w:t>citri</w:t>
      </w:r>
      <w:r w:rsidR="00AB390D" w:rsidRPr="0079059B">
        <w:t xml:space="preserve">. Water insoluble extracts emulsified in water </w:t>
      </w:r>
      <w:r w:rsidR="00ED0590">
        <w:t xml:space="preserve">exhibited </w:t>
      </w:r>
      <w:r w:rsidR="00855332">
        <w:t xml:space="preserve">upto </w:t>
      </w:r>
      <w:r w:rsidR="00ED0590">
        <w:t>93% disease reduction which was comparable to the fungicide</w:t>
      </w:r>
      <w:r w:rsidR="00ED0590" w:rsidRPr="00ED0590">
        <w:t xml:space="preserve"> </w:t>
      </w:r>
      <w:r w:rsidR="00ED0590" w:rsidRPr="0079059B">
        <w:t>bavistin</w:t>
      </w:r>
      <w:r w:rsidR="00AB390D" w:rsidRPr="0079059B">
        <w:t xml:space="preserve">. The results show that the adult leaves of </w:t>
      </w:r>
      <w:r w:rsidR="00AB390D" w:rsidRPr="0079059B">
        <w:rPr>
          <w:i/>
        </w:rPr>
        <w:t>X. strumarium</w:t>
      </w:r>
      <w:r w:rsidR="00AB390D" w:rsidRPr="0079059B">
        <w:t xml:space="preserve"> may be used as a source of botanical preparation for controlling </w:t>
      </w:r>
      <w:r w:rsidR="00ED0590">
        <w:t>post harvest</w:t>
      </w:r>
      <w:r w:rsidR="00AB390D" w:rsidRPr="0079059B">
        <w:t xml:space="preserve"> diseases of </w:t>
      </w:r>
      <w:r w:rsidR="00ED0590">
        <w:t>mandarin oranges</w:t>
      </w:r>
      <w:r w:rsidR="00AB390D" w:rsidRPr="0079059B">
        <w:t xml:space="preserve">. </w:t>
      </w:r>
    </w:p>
    <w:p w:rsidR="00AB390D" w:rsidRDefault="00AB390D" w:rsidP="00C57848">
      <w:pPr>
        <w:ind w:firstLine="720"/>
        <w:jc w:val="both"/>
        <w:rPr>
          <w:color w:val="000000"/>
        </w:rPr>
      </w:pPr>
    </w:p>
    <w:p w:rsidR="005C1689" w:rsidRDefault="005C1689" w:rsidP="005C1689">
      <w:pPr>
        <w:jc w:val="both"/>
        <w:rPr>
          <w:b/>
        </w:rPr>
      </w:pPr>
      <w:r>
        <w:rPr>
          <w:b/>
        </w:rPr>
        <w:t>Biography</w:t>
      </w:r>
    </w:p>
    <w:p w:rsidR="002E3CCC" w:rsidRDefault="002E3CCC" w:rsidP="005C1689">
      <w:pPr>
        <w:jc w:val="both"/>
        <w:rPr>
          <w:color w:val="000000"/>
        </w:rPr>
      </w:pPr>
    </w:p>
    <w:p w:rsidR="00DC45C8" w:rsidRPr="00A41107" w:rsidRDefault="00DC45C8" w:rsidP="00DC45C8">
      <w:pPr>
        <w:jc w:val="both"/>
        <w:rPr>
          <w:rFonts w:eastAsia="MS PGothic"/>
          <w:b/>
          <w:color w:val="000000"/>
          <w:szCs w:val="32"/>
        </w:rPr>
      </w:pPr>
      <w:r>
        <w:t xml:space="preserve">Dipanwita Saha has completed her graduation in Biochemistry in 1991 from Calcutta University and doctoral studies from Centre for Life Sciences, University of North Bengal in 2000. She is an Assistant Professor (stage III) in Biotechnology in University of North Bengal. She has received best presentation award in several occassions and published  more than 34 papers in reputed journals. She has visited USA, France, Thailand, Egypt and UK for academic purposes. </w:t>
      </w:r>
      <w:r>
        <w:tab/>
      </w:r>
      <w:r>
        <w:br/>
      </w:r>
    </w:p>
    <w:p w:rsidR="00DC45C8" w:rsidRDefault="005C1689" w:rsidP="00993AC5">
      <w:pPr>
        <w:rPr>
          <w:rFonts w:ascii="Arial" w:hAnsi="Arial" w:cs="Arial"/>
        </w:rPr>
      </w:pPr>
      <w:r w:rsidRPr="008A690F">
        <w:rPr>
          <w:b/>
          <w:lang w:val="en-NZ"/>
        </w:rPr>
        <w:t>Presenting author details</w:t>
      </w:r>
    </w:p>
    <w:p w:rsidR="005C1689" w:rsidRPr="008A690F" w:rsidRDefault="005C1689" w:rsidP="005C1689">
      <w:pPr>
        <w:autoSpaceDE w:val="0"/>
        <w:autoSpaceDN w:val="0"/>
        <w:adjustRightInd w:val="0"/>
        <w:rPr>
          <w:b/>
          <w:lang w:val="en-NZ"/>
        </w:rPr>
      </w:pPr>
      <w:r w:rsidRPr="008A690F">
        <w:rPr>
          <w:lang w:val="en-NZ"/>
        </w:rPr>
        <w:t xml:space="preserve">Full name: </w:t>
      </w:r>
      <w:r>
        <w:rPr>
          <w:lang w:val="en-NZ"/>
        </w:rPr>
        <w:t xml:space="preserve">Dr. </w:t>
      </w:r>
      <w:proofErr w:type="spellStart"/>
      <w:r>
        <w:rPr>
          <w:lang w:val="en-NZ"/>
        </w:rPr>
        <w:t>Dipanwita</w:t>
      </w:r>
      <w:proofErr w:type="spellEnd"/>
      <w:r>
        <w:rPr>
          <w:lang w:val="en-NZ"/>
        </w:rPr>
        <w:t xml:space="preserve"> </w:t>
      </w:r>
      <w:proofErr w:type="spellStart"/>
      <w:r>
        <w:rPr>
          <w:lang w:val="en-NZ"/>
        </w:rPr>
        <w:t>Saha</w:t>
      </w:r>
      <w:proofErr w:type="spellEnd"/>
      <w:r w:rsidRPr="008A690F">
        <w:rPr>
          <w:lang w:val="en-NZ"/>
        </w:rPr>
        <w:br/>
        <w:t>Contact number:</w:t>
      </w:r>
      <w:r>
        <w:rPr>
          <w:lang w:val="en-NZ"/>
        </w:rPr>
        <w:t xml:space="preserve"> +91 9434429800</w:t>
      </w:r>
      <w:r w:rsidRPr="008A690F">
        <w:rPr>
          <w:lang w:val="en-NZ"/>
        </w:rPr>
        <w:br/>
        <w:t>Twitter account:</w:t>
      </w:r>
      <w:r>
        <w:rPr>
          <w:lang w:val="en-NZ"/>
        </w:rPr>
        <w:t xml:space="preserve"> Nil</w:t>
      </w:r>
      <w:r w:rsidRPr="008A690F">
        <w:rPr>
          <w:lang w:val="en-NZ"/>
        </w:rPr>
        <w:br/>
        <w:t>Linked In account:</w:t>
      </w:r>
      <w:r>
        <w:rPr>
          <w:lang w:val="en-NZ"/>
        </w:rPr>
        <w:t xml:space="preserve"> yes</w:t>
      </w:r>
    </w:p>
    <w:p w:rsidR="005C1689" w:rsidRDefault="005C1689" w:rsidP="005C1689">
      <w:pPr>
        <w:autoSpaceDE w:val="0"/>
        <w:autoSpaceDN w:val="0"/>
        <w:adjustRightInd w:val="0"/>
        <w:rPr>
          <w:lang w:val="en-NZ"/>
        </w:rPr>
      </w:pPr>
      <w:r w:rsidRPr="008A690F">
        <w:rPr>
          <w:lang w:val="en-NZ"/>
        </w:rPr>
        <w:t>Session name/ number:</w:t>
      </w:r>
      <w:r>
        <w:rPr>
          <w:lang w:val="en-NZ"/>
        </w:rPr>
        <w:t xml:space="preserve"> </w:t>
      </w:r>
      <w:r w:rsidR="0034416A">
        <w:rPr>
          <w:lang w:val="en-NZ"/>
        </w:rPr>
        <w:t>Food Microbiology/Food safety</w:t>
      </w:r>
      <w:r w:rsidRPr="008A690F">
        <w:rPr>
          <w:lang w:val="en-NZ"/>
        </w:rPr>
        <w:br/>
        <w:t>Category: Oral presentation</w:t>
      </w:r>
    </w:p>
    <w:p w:rsidR="00DC45C8" w:rsidRDefault="00DC45C8" w:rsidP="00993AC5">
      <w:pPr>
        <w:rPr>
          <w:rFonts w:ascii="Arial" w:hAnsi="Arial" w:cs="Arial"/>
        </w:rPr>
      </w:pPr>
    </w:p>
    <w:sectPr w:rsidR="00DC45C8" w:rsidSect="005C1689">
      <w:pgSz w:w="11906" w:h="16838"/>
      <w:pgMar w:top="993" w:right="1133"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57848"/>
    <w:rsid w:val="0011561F"/>
    <w:rsid w:val="002E3CCC"/>
    <w:rsid w:val="0034416A"/>
    <w:rsid w:val="003B2EB1"/>
    <w:rsid w:val="00467BB5"/>
    <w:rsid w:val="00551BA8"/>
    <w:rsid w:val="00573F30"/>
    <w:rsid w:val="005A7D1E"/>
    <w:rsid w:val="005C1689"/>
    <w:rsid w:val="006400D1"/>
    <w:rsid w:val="006A449C"/>
    <w:rsid w:val="00840B00"/>
    <w:rsid w:val="00855332"/>
    <w:rsid w:val="00870746"/>
    <w:rsid w:val="00993AC5"/>
    <w:rsid w:val="00A13B93"/>
    <w:rsid w:val="00AB390D"/>
    <w:rsid w:val="00BF2DCB"/>
    <w:rsid w:val="00C57848"/>
    <w:rsid w:val="00DC45C8"/>
    <w:rsid w:val="00E937EB"/>
    <w:rsid w:val="00ED059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848"/>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C57848"/>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746"/>
    <w:pPr>
      <w:spacing w:after="200" w:line="276" w:lineRule="auto"/>
      <w:ind w:left="720"/>
      <w:contextualSpacing/>
    </w:pPr>
    <w:rPr>
      <w:rFonts w:ascii="Calibri" w:eastAsia="Calibri" w:hAnsi="Calibri"/>
      <w:sz w:val="22"/>
      <w:szCs w:val="22"/>
      <w:lang w:val="en-IN" w:eastAsia="en-US"/>
    </w:rPr>
  </w:style>
  <w:style w:type="paragraph" w:styleId="BalloonText">
    <w:name w:val="Balloon Text"/>
    <w:basedOn w:val="Normal"/>
    <w:link w:val="BalloonTextChar"/>
    <w:uiPriority w:val="99"/>
    <w:semiHidden/>
    <w:unhideWhenUsed/>
    <w:rsid w:val="00C57848"/>
    <w:rPr>
      <w:rFonts w:ascii="Tahoma" w:hAnsi="Tahoma" w:cs="Tahoma"/>
      <w:sz w:val="16"/>
      <w:szCs w:val="16"/>
    </w:rPr>
  </w:style>
  <w:style w:type="character" w:customStyle="1" w:styleId="BalloonTextChar">
    <w:name w:val="Balloon Text Char"/>
    <w:basedOn w:val="DefaultParagraphFont"/>
    <w:link w:val="BalloonText"/>
    <w:uiPriority w:val="99"/>
    <w:semiHidden/>
    <w:rsid w:val="00C57848"/>
    <w:rPr>
      <w:rFonts w:ascii="Tahoma" w:eastAsia="Times New Roman" w:hAnsi="Tahoma" w:cs="Tahoma"/>
      <w:sz w:val="16"/>
      <w:szCs w:val="16"/>
      <w:lang w:val="it-IT" w:eastAsia="it-IT"/>
    </w:rPr>
  </w:style>
  <w:style w:type="character" w:customStyle="1" w:styleId="Heading1Char">
    <w:name w:val="Heading 1 Char"/>
    <w:basedOn w:val="DefaultParagraphFont"/>
    <w:link w:val="Heading1"/>
    <w:uiPriority w:val="9"/>
    <w:rsid w:val="00C57848"/>
    <w:rPr>
      <w:rFonts w:ascii="Times New Roman" w:eastAsia="Times New Roman" w:hAnsi="Times New Roman" w:cs="Times New Roman"/>
      <w:b/>
      <w:bCs/>
      <w:kern w:val="36"/>
      <w:sz w:val="48"/>
      <w:szCs w:val="48"/>
      <w:lang w:eastAsia="en-IN"/>
    </w:rPr>
  </w:style>
</w:styles>
</file>

<file path=word/webSettings.xml><?xml version="1.0" encoding="utf-8"?>
<w:webSettings xmlns:r="http://schemas.openxmlformats.org/officeDocument/2006/relationships" xmlns:w="http://schemas.openxmlformats.org/wordprocessingml/2006/main">
  <w:divs>
    <w:div w:id="2412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2018-04-12T06:19:00Z</dcterms:created>
  <dcterms:modified xsi:type="dcterms:W3CDTF">2018-04-12T08:45:00Z</dcterms:modified>
</cp:coreProperties>
</file>