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Open Sans" w:cs="Times New Roman"/>
          <w:b/>
          <w:i w:val="0"/>
          <w:caps w:val="0"/>
          <w:color w:val="444444"/>
          <w:spacing w:val="0"/>
          <w:sz w:val="28"/>
          <w:szCs w:val="28"/>
          <w:u w:val="none"/>
        </w:rPr>
      </w:pPr>
      <w:bookmarkStart w:id="0" w:name="_GoBack"/>
      <w:bookmarkEnd w:id="0"/>
    </w:p>
    <w:p>
      <w:pPr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eastAsia="Open Sans" w:cs="Times New Roman"/>
          <w:b/>
          <w:i w:val="0"/>
          <w:caps w:val="0"/>
          <w:color w:val="444444"/>
          <w:spacing w:val="0"/>
          <w:sz w:val="32"/>
          <w:szCs w:val="32"/>
          <w:u w:val="none"/>
        </w:rPr>
        <w:t>Abstract</w:t>
      </w:r>
      <w:r>
        <w:rPr>
          <w:rFonts w:hint="default" w:ascii="Times New Roman" w:hAnsi="Times New Roman" w:eastAsia="Open Sans" w:cs="Times New Roman"/>
          <w:b/>
          <w:i w:val="0"/>
          <w:caps w:val="0"/>
          <w:color w:val="444444"/>
          <w:spacing w:val="0"/>
          <w:sz w:val="32"/>
          <w:szCs w:val="32"/>
          <w:u w:val="none"/>
          <w:lang w:val="en-US"/>
        </w:rPr>
        <w:t xml:space="preserve"> </w:t>
      </w:r>
      <w:r>
        <w:rPr>
          <w:rFonts w:hint="default" w:ascii="Times New Roman" w:hAnsi="Times New Roman" w:eastAsia="Open Sans" w:cs="Times New Roman"/>
          <w:b/>
          <w:i w:val="0"/>
          <w:caps w:val="0"/>
          <w:color w:val="444444"/>
          <w:spacing w:val="0"/>
          <w:sz w:val="32"/>
          <w:szCs w:val="32"/>
          <w:u w:val="none"/>
        </w:rPr>
        <w:t>Summary</w:t>
      </w:r>
      <w:r>
        <w:rPr>
          <w:rFonts w:hint="default" w:ascii="Times New Roman" w:hAnsi="Times New Roman" w:eastAsia="Open Sans" w:cs="Times New Roman"/>
          <w:b/>
          <w:i w:val="0"/>
          <w:caps w:val="0"/>
          <w:color w:val="444444"/>
          <w:spacing w:val="0"/>
          <w:sz w:val="32"/>
          <w:szCs w:val="32"/>
          <w:u w:val="none"/>
          <w:lang w:val="en-US"/>
        </w:rPr>
        <w:t xml:space="preserve"> of Food Fraud</w:t>
      </w:r>
      <w:r>
        <w:rPr>
          <w:rFonts w:hint="default" w:ascii="Times New Roman" w:hAnsi="Times New Roman" w:eastAsia="Open Sans" w:cs="Times New Roman"/>
          <w:b/>
          <w:i w:val="0"/>
          <w:caps w:val="0"/>
          <w:color w:val="444444"/>
          <w:spacing w:val="0"/>
          <w:sz w:val="32"/>
          <w:szCs w:val="32"/>
          <w:u w:val="none"/>
        </w:rPr>
        <w:t>:</w:t>
      </w:r>
    </w:p>
    <w:p/>
    <w:p/>
    <w:p/>
    <w:p>
      <w:pPr>
        <w:jc w:val="left"/>
        <w:rPr>
          <w:rFonts w:hint="default" w:ascii="Times New Roman" w:hAnsi="Times New Roman" w:eastAsia="Open Sans" w:cs="Times New Roman"/>
          <w:b w:val="0"/>
          <w:bCs/>
          <w:i w:val="0"/>
          <w:iCs/>
          <w:caps w:val="0"/>
          <w:color w:val="444444"/>
          <w:spacing w:val="0"/>
          <w:sz w:val="40"/>
          <w:szCs w:val="40"/>
          <w:u w:val="none"/>
        </w:rPr>
      </w:pPr>
      <w:r>
        <w:rPr>
          <w:rFonts w:hint="default" w:ascii="Times New Roman" w:hAnsi="Times New Roman" w:eastAsia="Open Sans" w:cs="Times New Roman"/>
          <w:b w:val="0"/>
          <w:bCs/>
          <w:i w:val="0"/>
          <w:iCs/>
          <w:caps w:val="0"/>
          <w:color w:val="444444"/>
          <w:spacing w:val="0"/>
          <w:sz w:val="40"/>
          <w:szCs w:val="40"/>
          <w:u w:val="none"/>
        </w:rPr>
        <w:t xml:space="preserve">Food Fraud is illegal deception for economic gain using food. Over the last 10 years a series of incidents has raised awareness and urgency in addressing Food Fraud, including the focus on a proactive prevention approach. This holistic and all-encompassing approach includes specialized methods to assess past incidents in the marketplace, review the fraud opportunity, conduct assessments, connect to enterprise-wide decision-making systems such as Enterprise Risk Management, and refine internal control systems. Methods: This report builds upon previous Food Fraud prevention and Food Fraud Enterprise Risk Management research to provide a case study example of a complex Food Fraud management system. The case study was of the Kerry Group’s specific Global Supply Quality Risk and Vulnerability Management and Governance system. Results: The report and case study demonstrate how a holistic and all-encompassing approach to Food Fraud prevention created control systems and risk communication for an enterprise. </w:t>
      </w:r>
    </w:p>
    <w:p>
      <w:pPr>
        <w:ind w:firstLine="800" w:firstLineChars="200"/>
        <w:jc w:val="left"/>
        <w:rPr>
          <w:rFonts w:hint="default" w:ascii="Times New Roman" w:hAnsi="Times New Roman" w:cs="Times New Roman"/>
          <w:b w:val="0"/>
          <w:bCs/>
          <w:i w:val="0"/>
          <w:iCs/>
          <w:sz w:val="40"/>
          <w:szCs w:val="40"/>
        </w:rPr>
      </w:pPr>
      <w:r>
        <w:rPr>
          <w:rFonts w:hint="default" w:ascii="Times New Roman" w:hAnsi="Times New Roman" w:eastAsia="Open Sans" w:cs="Times New Roman"/>
          <w:b w:val="0"/>
          <w:bCs/>
          <w:i w:val="0"/>
          <w:iCs/>
          <w:caps w:val="0"/>
          <w:color w:val="444444"/>
          <w:spacing w:val="0"/>
          <w:sz w:val="40"/>
          <w:szCs w:val="40"/>
          <w:u w:val="none"/>
          <w:lang w:val="en-US"/>
        </w:rPr>
        <w:t>In c</w:t>
      </w:r>
      <w:r>
        <w:rPr>
          <w:rFonts w:hint="default" w:ascii="Times New Roman" w:hAnsi="Times New Roman" w:eastAsia="Open Sans" w:cs="Times New Roman"/>
          <w:b w:val="0"/>
          <w:bCs/>
          <w:i w:val="0"/>
          <w:iCs/>
          <w:caps w:val="0"/>
          <w:color w:val="444444"/>
          <w:spacing w:val="0"/>
          <w:sz w:val="40"/>
          <w:szCs w:val="40"/>
          <w:u w:val="none"/>
        </w:rPr>
        <w:t>onclusion</w:t>
      </w:r>
      <w:r>
        <w:rPr>
          <w:rFonts w:hint="default" w:ascii="Times New Roman" w:hAnsi="Times New Roman" w:eastAsia="Open Sans" w:cs="Times New Roman"/>
          <w:b w:val="0"/>
          <w:bCs/>
          <w:i w:val="0"/>
          <w:iCs/>
          <w:caps w:val="0"/>
          <w:color w:val="444444"/>
          <w:spacing w:val="0"/>
          <w:sz w:val="40"/>
          <w:szCs w:val="40"/>
          <w:u w:val="none"/>
          <w:lang w:val="en-US"/>
        </w:rPr>
        <w:t>, t</w:t>
      </w:r>
      <w:r>
        <w:rPr>
          <w:rFonts w:hint="default" w:ascii="Times New Roman" w:hAnsi="Times New Roman" w:eastAsia="Open Sans" w:cs="Times New Roman"/>
          <w:b w:val="0"/>
          <w:bCs/>
          <w:i w:val="0"/>
          <w:iCs/>
          <w:caps w:val="0"/>
          <w:color w:val="444444"/>
          <w:spacing w:val="0"/>
          <w:sz w:val="40"/>
          <w:szCs w:val="40"/>
          <w:u w:val="none"/>
        </w:rPr>
        <w:t>he entire Food Fraud Prevention Cycle provides a foundation for a rational and integrated approach that “connects everything to everything.”</w:t>
      </w:r>
    </w:p>
    <w:sectPr>
      <w:pgSz w:w="11906" w:h="16838"/>
      <w:pgMar w:top="1440" w:right="1306" w:bottom="1440" w:left="14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Open Sans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C837E5"/>
    <w:rsid w:val="025772DD"/>
    <w:rsid w:val="3646193D"/>
    <w:rsid w:val="57C83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Office_11.2.0.8970_F1E327BC-269C-435d-A152-05C5408002CA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2019-10-01T03:03:00Z</dcterms:created>
  <dc:creator>sandybrownn17</dc:creator>
  <cp:lastModifiedBy>sandybrownn17</cp:lastModifiedBy>
  <dcterms:modified xsi:type="dcterms:W3CDTF">2019-10-01T03:07:37Z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1033-11.2.0.8970</vt:lpwstr>
  </property>
</Properties>
</file>