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568B2" w14:textId="57424670" w:rsidR="00EF2C40" w:rsidRDefault="0025340C" w:rsidP="00EF2C40">
      <w:pPr>
        <w:rPr>
          <w:rFonts w:ascii="Minion Pro" w:eastAsia="Minion Pro" w:hAnsi="Minion Pro" w:cs="Minion Pro"/>
          <w:b/>
          <w:bCs/>
          <w:color w:val="337AB7"/>
          <w:sz w:val="36"/>
          <w:szCs w:val="36"/>
        </w:rPr>
      </w:pPr>
      <w:r w:rsidRPr="0025340C">
        <w:rPr>
          <w:rFonts w:ascii="Minion Pro" w:eastAsia="Minion Pro" w:hAnsi="Minion Pro" w:cs="Minion Pro"/>
          <w:b/>
          <w:bCs/>
          <w:color w:val="337AB7"/>
          <w:sz w:val="36"/>
          <w:szCs w:val="36"/>
        </w:rPr>
        <w:t xml:space="preserve">Identification of reference genes for real-time PCR gene expression studies in developing seedling of </w:t>
      </w:r>
      <w:proofErr w:type="spellStart"/>
      <w:r w:rsidRPr="0025340C">
        <w:rPr>
          <w:rFonts w:ascii="Minion Pro" w:eastAsia="Minion Pro" w:hAnsi="Minion Pro" w:cs="Minion Pro"/>
          <w:b/>
          <w:bCs/>
          <w:i/>
          <w:color w:val="337AB7"/>
          <w:sz w:val="36"/>
          <w:szCs w:val="36"/>
        </w:rPr>
        <w:t>Cyamopsis</w:t>
      </w:r>
      <w:proofErr w:type="spellEnd"/>
      <w:r w:rsidRPr="0025340C">
        <w:rPr>
          <w:rFonts w:ascii="Minion Pro" w:eastAsia="Minion Pro" w:hAnsi="Minion Pro" w:cs="Minion Pro"/>
          <w:b/>
          <w:bCs/>
          <w:i/>
          <w:color w:val="337AB7"/>
          <w:sz w:val="36"/>
          <w:szCs w:val="36"/>
        </w:rPr>
        <w:t xml:space="preserve"> </w:t>
      </w:r>
      <w:proofErr w:type="spellStart"/>
      <w:r w:rsidRPr="0025340C">
        <w:rPr>
          <w:rFonts w:ascii="Minion Pro" w:eastAsia="Minion Pro" w:hAnsi="Minion Pro" w:cs="Minion Pro"/>
          <w:b/>
          <w:bCs/>
          <w:i/>
          <w:color w:val="337AB7"/>
          <w:sz w:val="36"/>
          <w:szCs w:val="36"/>
        </w:rPr>
        <w:t>tetragonoloba</w:t>
      </w:r>
      <w:proofErr w:type="spellEnd"/>
      <w:r w:rsidRPr="0025340C">
        <w:rPr>
          <w:rFonts w:ascii="Minion Pro" w:eastAsia="Minion Pro" w:hAnsi="Minion Pro" w:cs="Minion Pro"/>
          <w:b/>
          <w:bCs/>
          <w:color w:val="337AB7"/>
          <w:sz w:val="36"/>
          <w:szCs w:val="36"/>
        </w:rPr>
        <w:t xml:space="preserve"> under nitrogen stress</w:t>
      </w:r>
    </w:p>
    <w:p w14:paraId="727E6188" w14:textId="77777777" w:rsidR="00FC721E" w:rsidRDefault="00FC721E">
      <w:pPr>
        <w:rPr>
          <w:rFonts w:ascii="Arial"/>
          <w:sz w:val="21"/>
        </w:rPr>
      </w:pPr>
    </w:p>
    <w:p w14:paraId="75709BAF" w14:textId="77777777" w:rsidR="00EF2C40" w:rsidRDefault="00EF2C40">
      <w:pPr>
        <w:rPr>
          <w:rFonts w:ascii="Arial"/>
          <w:sz w:val="21"/>
        </w:rPr>
        <w:sectPr w:rsidR="00EF2C40" w:rsidSect="00571F4C">
          <w:headerReference w:type="default" r:id="rId8"/>
          <w:footerReference w:type="default" r:id="rId9"/>
          <w:headerReference w:type="first" r:id="rId10"/>
          <w:type w:val="continuous"/>
          <w:pgSz w:w="11910" w:h="16840"/>
          <w:pgMar w:top="1740" w:right="600" w:bottom="840" w:left="620" w:header="794" w:footer="642" w:gutter="0"/>
          <w:cols w:space="720"/>
          <w:titlePg/>
          <w:docGrid w:linePitch="299"/>
        </w:sectPr>
      </w:pPr>
    </w:p>
    <w:p w14:paraId="18718CC6" w14:textId="3A2A253A" w:rsidR="0025340C" w:rsidRDefault="0025340C" w:rsidP="0025340C">
      <w:pPr>
        <w:jc w:val="both"/>
        <w:rPr>
          <w:rFonts w:ascii="Times New Roman" w:hAnsi="Times New Roman" w:cs="Times New Roman"/>
          <w:sz w:val="20"/>
          <w:szCs w:val="20"/>
        </w:rPr>
      </w:pPr>
      <w:r w:rsidRPr="0025340C">
        <w:rPr>
          <w:rFonts w:ascii="Times New Roman" w:hAnsi="Times New Roman" w:cs="Times New Roman"/>
          <w:sz w:val="20"/>
          <w:szCs w:val="20"/>
        </w:rPr>
        <w:t>Poonam S Jaiswal, M.Sc., Indian Institute of Technology Roorkee, India</w:t>
      </w:r>
    </w:p>
    <w:p w14:paraId="7DE2F9A8" w14:textId="77777777" w:rsidR="0025340C" w:rsidRPr="0025340C" w:rsidRDefault="0025340C" w:rsidP="0025340C">
      <w:pPr>
        <w:jc w:val="both"/>
        <w:rPr>
          <w:rFonts w:ascii="Times New Roman" w:hAnsi="Times New Roman" w:cs="Times New Roman"/>
          <w:sz w:val="20"/>
          <w:szCs w:val="20"/>
        </w:rPr>
      </w:pPr>
    </w:p>
    <w:p w14:paraId="573247EB" w14:textId="0790AF33" w:rsidR="0025340C" w:rsidRDefault="0025340C" w:rsidP="0025340C">
      <w:pPr>
        <w:jc w:val="both"/>
        <w:rPr>
          <w:rFonts w:ascii="Times New Roman" w:hAnsi="Times New Roman" w:cs="Times New Roman"/>
          <w:sz w:val="20"/>
          <w:szCs w:val="20"/>
        </w:rPr>
      </w:pPr>
      <w:r w:rsidRPr="0025340C">
        <w:rPr>
          <w:rFonts w:ascii="Times New Roman" w:hAnsi="Times New Roman" w:cs="Times New Roman"/>
          <w:sz w:val="20"/>
          <w:szCs w:val="20"/>
        </w:rPr>
        <w:t>Navneet Kaur, PhD, Indian Institute of Technology Roorkee, India</w:t>
      </w:r>
    </w:p>
    <w:p w14:paraId="549DF318" w14:textId="77777777" w:rsidR="0025340C" w:rsidRPr="0025340C" w:rsidRDefault="0025340C" w:rsidP="0025340C">
      <w:pPr>
        <w:jc w:val="both"/>
        <w:rPr>
          <w:rFonts w:ascii="Times New Roman" w:hAnsi="Times New Roman" w:cs="Times New Roman"/>
          <w:sz w:val="20"/>
          <w:szCs w:val="20"/>
        </w:rPr>
      </w:pPr>
    </w:p>
    <w:p w14:paraId="46041FB2" w14:textId="3EFDE0DB" w:rsidR="00EF2C40" w:rsidRDefault="0025340C" w:rsidP="0025340C">
      <w:pPr>
        <w:jc w:val="both"/>
        <w:rPr>
          <w:rFonts w:ascii="Times New Roman" w:hAnsi="Times New Roman" w:cs="Times New Roman"/>
          <w:sz w:val="20"/>
          <w:szCs w:val="20"/>
        </w:rPr>
      </w:pPr>
      <w:proofErr w:type="spellStart"/>
      <w:r w:rsidRPr="0025340C">
        <w:rPr>
          <w:rFonts w:ascii="Times New Roman" w:hAnsi="Times New Roman" w:cs="Times New Roman"/>
          <w:sz w:val="20"/>
          <w:szCs w:val="20"/>
        </w:rPr>
        <w:t>Gursharn</w:t>
      </w:r>
      <w:proofErr w:type="spellEnd"/>
      <w:r w:rsidRPr="0025340C">
        <w:rPr>
          <w:rFonts w:ascii="Times New Roman" w:hAnsi="Times New Roman" w:cs="Times New Roman"/>
          <w:sz w:val="20"/>
          <w:szCs w:val="20"/>
        </w:rPr>
        <w:t xml:space="preserve"> Singh Randhawa, PhD, Indian Institute of Technology Roorkee, India</w:t>
      </w:r>
    </w:p>
    <w:p w14:paraId="2740DCB0" w14:textId="77777777" w:rsidR="00EF2C40" w:rsidRPr="00EF2C40" w:rsidRDefault="00EF2C40" w:rsidP="00EF2C40">
      <w:pPr>
        <w:jc w:val="center"/>
        <w:rPr>
          <w:rFonts w:ascii="Times New Roman" w:hAnsi="Times New Roman" w:cs="Times New Roman"/>
          <w:sz w:val="20"/>
          <w:szCs w:val="20"/>
        </w:rPr>
      </w:pPr>
    </w:p>
    <w:p w14:paraId="7E5F0A6D" w14:textId="77777777" w:rsidR="00AE3E37" w:rsidRDefault="00A9710C">
      <w:pPr>
        <w:pStyle w:val="Heading3"/>
        <w:spacing w:before="147"/>
        <w:jc w:val="both"/>
      </w:pPr>
      <w:r>
        <w:rPr>
          <w:color w:val="BF5A14"/>
        </w:rPr>
        <w:t>Abstract</w:t>
      </w:r>
      <w:r w:rsidR="00404E5B">
        <w:rPr>
          <w:color w:val="BF5A14"/>
        </w:rPr>
        <w:t xml:space="preserve"> </w:t>
      </w:r>
    </w:p>
    <w:p w14:paraId="29D607E4" w14:textId="77777777" w:rsidR="00D82F08" w:rsidRDefault="0025340C" w:rsidP="00EF2C40">
      <w:pPr>
        <w:pStyle w:val="BodyText"/>
        <w:spacing w:before="90" w:line="280" w:lineRule="auto"/>
        <w:ind w:left="100"/>
        <w:jc w:val="both"/>
        <w:rPr>
          <w:rFonts w:ascii="Times New Roman" w:hAnsi="Times New Roman" w:cs="Times New Roman"/>
        </w:rPr>
      </w:pPr>
      <w:r w:rsidRPr="0025340C">
        <w:rPr>
          <w:rFonts w:ascii="Times New Roman" w:hAnsi="Times New Roman" w:cs="Times New Roman"/>
        </w:rPr>
        <w:t>Guar (</w:t>
      </w:r>
      <w:proofErr w:type="spellStart"/>
      <w:r w:rsidRPr="00EF0598">
        <w:rPr>
          <w:rFonts w:ascii="Times New Roman" w:hAnsi="Times New Roman" w:cs="Times New Roman"/>
          <w:i/>
        </w:rPr>
        <w:t>Cyamopsis</w:t>
      </w:r>
      <w:proofErr w:type="spellEnd"/>
      <w:r w:rsidRPr="00EF0598">
        <w:rPr>
          <w:rFonts w:ascii="Times New Roman" w:hAnsi="Times New Roman" w:cs="Times New Roman"/>
          <w:i/>
        </w:rPr>
        <w:t xml:space="preserve"> </w:t>
      </w:r>
      <w:proofErr w:type="spellStart"/>
      <w:r w:rsidRPr="00EF0598">
        <w:rPr>
          <w:rFonts w:ascii="Times New Roman" w:hAnsi="Times New Roman" w:cs="Times New Roman"/>
          <w:i/>
        </w:rPr>
        <w:t>tetragonoloba</w:t>
      </w:r>
      <w:proofErr w:type="spellEnd"/>
      <w:r w:rsidRPr="0025340C">
        <w:rPr>
          <w:rFonts w:ascii="Times New Roman" w:hAnsi="Times New Roman" w:cs="Times New Roman"/>
        </w:rPr>
        <w:t xml:space="preserve"> L. Taub.) is an important industrial crop because of many industrial applications of galactomannan gum present in its seeds. It, being a legume crop, is able to fulfill its nitrogen requirement through biological nitrogen fixation. However, this crop usually encounters nitrogen deficiency during the initial stages of crop growth when nitrogen fixing nodules have not been fully developed. The knowledge about the genes of guar involved in various processes can help in developing improved varieties of this crop. </w:t>
      </w:r>
      <w:proofErr w:type="spellStart"/>
      <w:r w:rsidRPr="0025340C">
        <w:rPr>
          <w:rFonts w:ascii="Times New Roman" w:hAnsi="Times New Roman" w:cs="Times New Roman"/>
        </w:rPr>
        <w:t>qRT</w:t>
      </w:r>
      <w:proofErr w:type="spellEnd"/>
      <w:r w:rsidRPr="0025340C">
        <w:rPr>
          <w:rFonts w:ascii="Times New Roman" w:hAnsi="Times New Roman" w:cs="Times New Roman"/>
        </w:rPr>
        <w:t xml:space="preserve">-PCR is a preferred technique for the accurate quantification of gene expression data. This technique requires the use of appropriate reference genes from the crop to be studied. The reference genes have not been yet identified in guar crop. In the present study, the expression stabilities of </w:t>
      </w:r>
      <w:r w:rsidRPr="0025340C">
        <w:rPr>
          <w:rFonts w:ascii="Times New Roman" w:hAnsi="Times New Roman" w:cs="Times New Roman"/>
        </w:rPr>
        <w:t xml:space="preserve">the 10 candidate reference genes, viz., </w:t>
      </w:r>
      <w:r w:rsidRPr="0025340C">
        <w:rPr>
          <w:rFonts w:ascii="Times New Roman" w:hAnsi="Times New Roman" w:cs="Times New Roman"/>
          <w:i/>
        </w:rPr>
        <w:t>CYP, ACT 11, EF-1α, TUA, TUB, ACT 7, UBQ 10, UBC 2, GAPDH</w:t>
      </w:r>
      <w:r w:rsidRPr="0025340C">
        <w:rPr>
          <w:rFonts w:ascii="Times New Roman" w:hAnsi="Times New Roman" w:cs="Times New Roman"/>
        </w:rPr>
        <w:t xml:space="preserve"> and </w:t>
      </w:r>
      <w:r w:rsidRPr="0025340C">
        <w:rPr>
          <w:rFonts w:ascii="Times New Roman" w:hAnsi="Times New Roman" w:cs="Times New Roman"/>
          <w:i/>
        </w:rPr>
        <w:t>18S rRNA</w:t>
      </w:r>
      <w:r w:rsidRPr="0025340C">
        <w:rPr>
          <w:rFonts w:ascii="Times New Roman" w:hAnsi="Times New Roman" w:cs="Times New Roman"/>
        </w:rPr>
        <w:t xml:space="preserve"> were evaluated in shoot and root tissues of guar (RGC-1066 variety) under nitrogen stress condition. Four different algorithms, </w:t>
      </w:r>
      <w:proofErr w:type="spellStart"/>
      <w:r w:rsidRPr="0025340C">
        <w:rPr>
          <w:rFonts w:ascii="Times New Roman" w:hAnsi="Times New Roman" w:cs="Times New Roman"/>
        </w:rPr>
        <w:t>geNorm</w:t>
      </w:r>
      <w:proofErr w:type="spellEnd"/>
      <w:r w:rsidRPr="0025340C">
        <w:rPr>
          <w:rFonts w:ascii="Times New Roman" w:hAnsi="Times New Roman" w:cs="Times New Roman"/>
        </w:rPr>
        <w:t xml:space="preserve">, </w:t>
      </w:r>
      <w:proofErr w:type="spellStart"/>
      <w:r w:rsidRPr="0025340C">
        <w:rPr>
          <w:rFonts w:ascii="Times New Roman" w:hAnsi="Times New Roman" w:cs="Times New Roman"/>
        </w:rPr>
        <w:t>NormFinder</w:t>
      </w:r>
      <w:proofErr w:type="spellEnd"/>
      <w:r w:rsidRPr="0025340C">
        <w:rPr>
          <w:rFonts w:ascii="Times New Roman" w:hAnsi="Times New Roman" w:cs="Times New Roman"/>
        </w:rPr>
        <w:t xml:space="preserve">, </w:t>
      </w:r>
      <w:proofErr w:type="spellStart"/>
      <w:r w:rsidRPr="0025340C">
        <w:rPr>
          <w:rFonts w:ascii="Times New Roman" w:hAnsi="Times New Roman" w:cs="Times New Roman"/>
        </w:rPr>
        <w:t>BestKeeper</w:t>
      </w:r>
      <w:proofErr w:type="spellEnd"/>
      <w:r w:rsidRPr="0025340C">
        <w:rPr>
          <w:rFonts w:ascii="Times New Roman" w:hAnsi="Times New Roman" w:cs="Times New Roman"/>
        </w:rPr>
        <w:t xml:space="preserve"> and ∆Ct approach were used to assess the expression stabilities of reference genes and the results obtained were integrated into comprehensive stability rankings. The study indicated that the </w:t>
      </w:r>
      <w:r w:rsidRPr="0025340C">
        <w:rPr>
          <w:rFonts w:ascii="Times New Roman" w:hAnsi="Times New Roman" w:cs="Times New Roman"/>
          <w:i/>
        </w:rPr>
        <w:t>CYP, TUA</w:t>
      </w:r>
      <w:r w:rsidRPr="0025340C">
        <w:rPr>
          <w:rFonts w:ascii="Times New Roman" w:hAnsi="Times New Roman" w:cs="Times New Roman"/>
        </w:rPr>
        <w:t xml:space="preserve"> and </w:t>
      </w:r>
      <w:r w:rsidRPr="0025340C">
        <w:rPr>
          <w:rFonts w:ascii="Times New Roman" w:hAnsi="Times New Roman" w:cs="Times New Roman"/>
          <w:i/>
        </w:rPr>
        <w:t>UBC 2</w:t>
      </w:r>
      <w:r w:rsidRPr="0025340C">
        <w:rPr>
          <w:rFonts w:ascii="Times New Roman" w:hAnsi="Times New Roman" w:cs="Times New Roman"/>
        </w:rPr>
        <w:t xml:space="preserve"> genes were the most stable reference genes in guar under nitrogen stress condition whereas </w:t>
      </w:r>
      <w:r w:rsidRPr="0025340C">
        <w:rPr>
          <w:rFonts w:ascii="Times New Roman" w:hAnsi="Times New Roman" w:cs="Times New Roman"/>
          <w:i/>
        </w:rPr>
        <w:t>EF-1α</w:t>
      </w:r>
      <w:r w:rsidRPr="0025340C">
        <w:rPr>
          <w:rFonts w:ascii="Times New Roman" w:hAnsi="Times New Roman" w:cs="Times New Roman"/>
        </w:rPr>
        <w:t xml:space="preserve"> gene was the most unstable reference gene. Thus</w:t>
      </w:r>
      <w:r w:rsidRPr="0025340C">
        <w:rPr>
          <w:rFonts w:ascii="Times New Roman" w:hAnsi="Times New Roman" w:cs="Times New Roman"/>
          <w:i/>
        </w:rPr>
        <w:t>, CYP, TUA</w:t>
      </w:r>
      <w:r w:rsidRPr="0025340C">
        <w:rPr>
          <w:rFonts w:ascii="Times New Roman" w:hAnsi="Times New Roman" w:cs="Times New Roman"/>
        </w:rPr>
        <w:t xml:space="preserve"> and </w:t>
      </w:r>
      <w:r w:rsidRPr="0025340C">
        <w:rPr>
          <w:rFonts w:ascii="Times New Roman" w:hAnsi="Times New Roman" w:cs="Times New Roman"/>
          <w:i/>
        </w:rPr>
        <w:t>UBC 2</w:t>
      </w:r>
      <w:r w:rsidRPr="0025340C">
        <w:rPr>
          <w:rFonts w:ascii="Times New Roman" w:hAnsi="Times New Roman" w:cs="Times New Roman"/>
        </w:rPr>
        <w:t xml:space="preserve"> genes were the suitable reference genes for accurate normalization of the gene expression data in guar under nitrogen stress condition whereas </w:t>
      </w:r>
      <w:r w:rsidRPr="0025340C">
        <w:rPr>
          <w:rFonts w:ascii="Times New Roman" w:hAnsi="Times New Roman" w:cs="Times New Roman"/>
          <w:i/>
        </w:rPr>
        <w:t>EF-1α</w:t>
      </w:r>
      <w:r w:rsidRPr="0025340C">
        <w:rPr>
          <w:rFonts w:ascii="Times New Roman" w:hAnsi="Times New Roman" w:cs="Times New Roman"/>
        </w:rPr>
        <w:t xml:space="preserve"> gene was the unsuitable reference gene. Our findings are expected to provide a boost to the gene expression studies in guar under nitrogen stress. Such studies are likely to improve our understanding of the molecular mechanisms of nitrogen uptake in guar seedling and facilitate the research initiatives to determine the genes expressing under nitrogen stress in this industrially important crop.</w:t>
      </w:r>
    </w:p>
    <w:p w14:paraId="1F1FE42C" w14:textId="12F973A6" w:rsidR="00EF2C40" w:rsidRPr="00EF2C40" w:rsidRDefault="00EF0598" w:rsidP="00EF2C40">
      <w:pPr>
        <w:pStyle w:val="BodyText"/>
        <w:spacing w:before="90" w:line="280" w:lineRule="auto"/>
        <w:ind w:left="100"/>
        <w:jc w:val="both"/>
        <w:rPr>
          <w:rFonts w:ascii="Times New Roman" w:hAnsi="Times New Roman" w:cs="Times New Roman"/>
        </w:rPr>
      </w:pPr>
      <w:r>
        <w:rPr>
          <w:rFonts w:ascii="Times New Roman" w:hAnsi="Times New Roman" w:cs="Times New Roman"/>
        </w:rPr>
        <w:t xml:space="preserve"> </w:t>
      </w:r>
      <w:bookmarkStart w:id="0" w:name="_GoBack"/>
      <w:bookmarkEnd w:id="0"/>
    </w:p>
    <w:p w14:paraId="3B6BECE6" w14:textId="77777777" w:rsidR="00AE3E37" w:rsidRDefault="00AE3E37">
      <w:pPr>
        <w:pStyle w:val="BodyText"/>
        <w:spacing w:before="2"/>
        <w:rPr>
          <w:rFonts w:ascii="Arial"/>
          <w:b/>
          <w:sz w:val="16"/>
        </w:rPr>
      </w:pPr>
    </w:p>
    <w:p w14:paraId="366BF7D1" w14:textId="77777777" w:rsidR="00EF2C40" w:rsidRPr="00571F4C" w:rsidRDefault="005973B9" w:rsidP="00EF2C40">
      <w:pPr>
        <w:spacing w:line="204" w:lineRule="exact"/>
        <w:rPr>
          <w:rFonts w:ascii="Times New Roman" w:hAnsi="Times New Roman" w:cs="Times New Roman"/>
          <w:sz w:val="18"/>
          <w:szCs w:val="18"/>
        </w:rPr>
      </w:pPr>
      <w:r>
        <w:rPr>
          <w:rFonts w:ascii="Arial"/>
          <w:b/>
          <w:color w:val="BF5A14"/>
          <w:sz w:val="20"/>
        </w:rPr>
        <w:br/>
      </w:r>
    </w:p>
    <w:p w14:paraId="670ED29B" w14:textId="77777777" w:rsidR="00AE3E37" w:rsidRPr="00571F4C" w:rsidRDefault="00AE3E37" w:rsidP="00571F4C">
      <w:pPr>
        <w:pStyle w:val="NoSpacing"/>
        <w:rPr>
          <w:rFonts w:ascii="Times New Roman" w:hAnsi="Times New Roman" w:cs="Times New Roman"/>
          <w:sz w:val="18"/>
          <w:szCs w:val="18"/>
        </w:rPr>
        <w:sectPr w:rsidR="00AE3E37" w:rsidRPr="00571F4C">
          <w:type w:val="continuous"/>
          <w:pgSz w:w="11910" w:h="16840"/>
          <w:pgMar w:top="1740" w:right="600" w:bottom="840" w:left="620" w:header="720" w:footer="720" w:gutter="0"/>
          <w:cols w:num="2" w:space="720" w:equalWidth="0">
            <w:col w:w="5214" w:space="138"/>
            <w:col w:w="5338"/>
          </w:cols>
        </w:sectPr>
      </w:pPr>
    </w:p>
    <w:p w14:paraId="3EB281AA" w14:textId="77777777" w:rsidR="00AE3E37" w:rsidRPr="00571F4C" w:rsidRDefault="00AE3E37" w:rsidP="00571F4C">
      <w:pPr>
        <w:pStyle w:val="NoSpacing"/>
        <w:rPr>
          <w:rFonts w:ascii="Times New Roman" w:hAnsi="Times New Roman" w:cs="Times New Roman"/>
          <w:sz w:val="18"/>
          <w:szCs w:val="18"/>
        </w:rPr>
      </w:pPr>
    </w:p>
    <w:p w14:paraId="61252C2D" w14:textId="77777777" w:rsidR="00FC721E" w:rsidRDefault="00FC721E" w:rsidP="00404E5B">
      <w:pPr>
        <w:spacing w:before="92"/>
        <w:ind w:right="4234"/>
        <w:rPr>
          <w:rFonts w:ascii="Arial"/>
          <w:color w:val="BF5A14"/>
        </w:rPr>
        <w:sectPr w:rsidR="00FC721E" w:rsidSect="00CD6F55">
          <w:type w:val="continuous"/>
          <w:pgSz w:w="11910" w:h="16840"/>
          <w:pgMar w:top="1740" w:right="580" w:bottom="840" w:left="620" w:header="720" w:footer="720" w:gutter="0"/>
          <w:cols w:num="2" w:space="720" w:equalWidth="0">
            <w:col w:w="5214" w:space="138"/>
            <w:col w:w="5358"/>
          </w:cols>
        </w:sectPr>
      </w:pPr>
    </w:p>
    <w:p w14:paraId="6A1C96E2" w14:textId="0955E221" w:rsidR="00EF2C40" w:rsidRDefault="00A9710C" w:rsidP="00EF2C40">
      <w:pPr>
        <w:rPr>
          <w:rFonts w:ascii="Arial"/>
          <w:sz w:val="14"/>
        </w:rPr>
      </w:pPr>
      <w:r>
        <w:rPr>
          <w:rFonts w:ascii="Arial"/>
          <w:sz w:val="14"/>
        </w:rPr>
        <w:t>Email:</w:t>
      </w:r>
      <w:r w:rsidR="00EF2C40" w:rsidRPr="00EF2C40">
        <w:t xml:space="preserve"> </w:t>
      </w:r>
      <w:r w:rsidR="00EF2C40" w:rsidRPr="00EF2C40">
        <w:rPr>
          <w:rFonts w:ascii="Arial"/>
          <w:sz w:val="14"/>
        </w:rPr>
        <w:t>Email:</w:t>
      </w:r>
      <w:r w:rsidR="0025340C">
        <w:rPr>
          <w:rFonts w:ascii="Arial"/>
          <w:sz w:val="14"/>
        </w:rPr>
        <w:t xml:space="preserve"> poonamjaiswal2609@gmail.com</w:t>
      </w:r>
    </w:p>
    <w:p w14:paraId="65D54274" w14:textId="38624826" w:rsidR="00AE3E37" w:rsidRDefault="00EF2C40" w:rsidP="00EF2C40">
      <w:pPr>
        <w:rPr>
          <w:rStyle w:val="Hyperlink"/>
          <w:rFonts w:ascii="Arial"/>
          <w:sz w:val="14"/>
        </w:rPr>
      </w:pPr>
      <w:r w:rsidRPr="00EF2C40">
        <w:rPr>
          <w:rFonts w:ascii="Arial"/>
          <w:sz w:val="14"/>
        </w:rPr>
        <w:t>Mobile +</w:t>
      </w:r>
      <w:r w:rsidR="0025340C">
        <w:rPr>
          <w:rFonts w:ascii="Arial"/>
          <w:sz w:val="14"/>
        </w:rPr>
        <w:t>918791596176</w:t>
      </w:r>
    </w:p>
    <w:p w14:paraId="41633AA0" w14:textId="77777777" w:rsidR="00EF2C40" w:rsidRDefault="00EF2C40" w:rsidP="00FC721E">
      <w:pPr>
        <w:jc w:val="center"/>
        <w:rPr>
          <w:rStyle w:val="Hyperlink"/>
          <w:rFonts w:ascii="Arial"/>
          <w:sz w:val="14"/>
        </w:rPr>
      </w:pPr>
    </w:p>
    <w:p w14:paraId="16CCE7D7" w14:textId="77777777" w:rsidR="00EF2C40" w:rsidRPr="00FC721E" w:rsidRDefault="00EF2C40" w:rsidP="00EF2C40">
      <w:pPr>
        <w:jc w:val="center"/>
        <w:rPr>
          <w:rFonts w:ascii="Arial"/>
          <w:sz w:val="14"/>
        </w:rPr>
      </w:pPr>
    </w:p>
    <w:sectPr w:rsidR="00EF2C40" w:rsidRPr="00FC721E" w:rsidSect="00FC721E">
      <w:type w:val="continuous"/>
      <w:pgSz w:w="11910" w:h="16840"/>
      <w:pgMar w:top="1740" w:right="580" w:bottom="840" w:left="620" w:header="720" w:footer="720" w:gutter="0"/>
      <w:cols w:space="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FD66D" w14:textId="77777777" w:rsidR="00BA6272" w:rsidRDefault="00BA6272">
      <w:r>
        <w:separator/>
      </w:r>
    </w:p>
  </w:endnote>
  <w:endnote w:type="continuationSeparator" w:id="0">
    <w:p w14:paraId="1DA9CB45" w14:textId="77777777" w:rsidR="00BA6272" w:rsidRDefault="00BA6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B25FC" w14:textId="77777777"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81A44" w14:textId="77777777" w:rsidR="00BA6272" w:rsidRDefault="00BA6272">
      <w:r>
        <w:separator/>
      </w:r>
    </w:p>
  </w:footnote>
  <w:footnote w:type="continuationSeparator" w:id="0">
    <w:p w14:paraId="2A09B369" w14:textId="77777777" w:rsidR="00BA6272" w:rsidRDefault="00BA6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93E2A" w14:textId="77777777" w:rsidR="00571F4C" w:rsidRDefault="00571F4C" w:rsidP="00571F4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A4C94" w14:textId="77777777" w:rsidR="00571F4C" w:rsidRDefault="00571F4C" w:rsidP="00571F4C">
    <w:pPr>
      <w:pStyle w:val="Header"/>
      <w:jc w:val="center"/>
    </w:pPr>
    <w:r>
      <w:rPr>
        <w:noProof/>
        <w:lang w:val="en-IN" w:eastAsia="en-IN"/>
      </w:rPr>
      <w:drawing>
        <wp:inline distT="0" distB="0" distL="0" distR="0" wp14:anchorId="742EC956" wp14:editId="41EED5B6">
          <wp:extent cx="6498590" cy="10306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8590" cy="10306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5E26E47"/>
    <w:multiLevelType w:val="hybridMultilevel"/>
    <w:tmpl w:val="E158749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2583C"/>
    <w:rsid w:val="0025340C"/>
    <w:rsid w:val="00292ED9"/>
    <w:rsid w:val="004020F3"/>
    <w:rsid w:val="00404E5B"/>
    <w:rsid w:val="00414F7B"/>
    <w:rsid w:val="004355DC"/>
    <w:rsid w:val="004749B4"/>
    <w:rsid w:val="00494130"/>
    <w:rsid w:val="004F3523"/>
    <w:rsid w:val="00571F4C"/>
    <w:rsid w:val="005973B9"/>
    <w:rsid w:val="005B3A56"/>
    <w:rsid w:val="006060CE"/>
    <w:rsid w:val="0063497F"/>
    <w:rsid w:val="006F5766"/>
    <w:rsid w:val="0079685D"/>
    <w:rsid w:val="007E1505"/>
    <w:rsid w:val="00873DF0"/>
    <w:rsid w:val="008756E6"/>
    <w:rsid w:val="008D759D"/>
    <w:rsid w:val="009B2D44"/>
    <w:rsid w:val="009C0941"/>
    <w:rsid w:val="009E5986"/>
    <w:rsid w:val="009F5BE0"/>
    <w:rsid w:val="00A07E82"/>
    <w:rsid w:val="00A9710C"/>
    <w:rsid w:val="00AE3E37"/>
    <w:rsid w:val="00B21A57"/>
    <w:rsid w:val="00B36803"/>
    <w:rsid w:val="00BA6272"/>
    <w:rsid w:val="00C0051A"/>
    <w:rsid w:val="00C33602"/>
    <w:rsid w:val="00C94E0A"/>
    <w:rsid w:val="00CD6F55"/>
    <w:rsid w:val="00CE1F4E"/>
    <w:rsid w:val="00D82F08"/>
    <w:rsid w:val="00DE3104"/>
    <w:rsid w:val="00EF0598"/>
    <w:rsid w:val="00EF2C40"/>
    <w:rsid w:val="00F72EEA"/>
    <w:rsid w:val="00F84CAE"/>
    <w:rsid w:val="00FC72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2AF95"/>
  <w15:docId w15:val="{A6808859-04AE-40B2-A6B3-4294BC124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uiPriority w:val="10"/>
    <w:qFormat/>
    <w:rsid w:val="009C0941"/>
    <w:pPr>
      <w:widowControl/>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9C0941"/>
    <w:rPr>
      <w:rFonts w:ascii="Calibri Light" w:eastAsia="Times New Roman" w:hAnsi="Calibri Light" w:cs="Times New Roman"/>
      <w:spacing w:val="-10"/>
      <w:kern w:val="28"/>
      <w:sz w:val="56"/>
      <w:szCs w:val="56"/>
    </w:rPr>
  </w:style>
  <w:style w:type="paragraph" w:styleId="NoSpacing">
    <w:name w:val="No Spacing"/>
    <w:uiPriority w:val="1"/>
    <w:qFormat/>
    <w:rsid w:val="00571F4C"/>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654299">
      <w:bodyDiv w:val="1"/>
      <w:marLeft w:val="0"/>
      <w:marRight w:val="0"/>
      <w:marTop w:val="0"/>
      <w:marBottom w:val="0"/>
      <w:divBdr>
        <w:top w:val="none" w:sz="0" w:space="0" w:color="auto"/>
        <w:left w:val="none" w:sz="0" w:space="0" w:color="auto"/>
        <w:bottom w:val="none" w:sz="0" w:space="0" w:color="auto"/>
        <w:right w:val="none" w:sz="0" w:space="0" w:color="auto"/>
      </w:divBdr>
    </w:div>
    <w:div w:id="31353313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1324144">
      <w:bodyDiv w:val="1"/>
      <w:marLeft w:val="0"/>
      <w:marRight w:val="0"/>
      <w:marTop w:val="0"/>
      <w:marBottom w:val="0"/>
      <w:divBdr>
        <w:top w:val="none" w:sz="0" w:space="0" w:color="auto"/>
        <w:left w:val="none" w:sz="0" w:space="0" w:color="auto"/>
        <w:bottom w:val="none" w:sz="0" w:space="0" w:color="auto"/>
        <w:right w:val="none" w:sz="0" w:space="0" w:color="auto"/>
      </w:divBdr>
    </w:div>
    <w:div w:id="654724418">
      <w:bodyDiv w:val="1"/>
      <w:marLeft w:val="0"/>
      <w:marRight w:val="0"/>
      <w:marTop w:val="0"/>
      <w:marBottom w:val="0"/>
      <w:divBdr>
        <w:top w:val="none" w:sz="0" w:space="0" w:color="auto"/>
        <w:left w:val="none" w:sz="0" w:space="0" w:color="auto"/>
        <w:bottom w:val="none" w:sz="0" w:space="0" w:color="auto"/>
        <w:right w:val="none" w:sz="0" w:space="0" w:color="auto"/>
      </w:divBdr>
    </w:div>
    <w:div w:id="750129136">
      <w:bodyDiv w:val="1"/>
      <w:marLeft w:val="0"/>
      <w:marRight w:val="0"/>
      <w:marTop w:val="0"/>
      <w:marBottom w:val="0"/>
      <w:divBdr>
        <w:top w:val="none" w:sz="0" w:space="0" w:color="auto"/>
        <w:left w:val="none" w:sz="0" w:space="0" w:color="auto"/>
        <w:bottom w:val="none" w:sz="0" w:space="0" w:color="auto"/>
        <w:right w:val="none" w:sz="0" w:space="0" w:color="auto"/>
      </w:divBdr>
    </w:div>
    <w:div w:id="78651051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05209307">
      <w:bodyDiv w:val="1"/>
      <w:marLeft w:val="0"/>
      <w:marRight w:val="0"/>
      <w:marTop w:val="0"/>
      <w:marBottom w:val="0"/>
      <w:divBdr>
        <w:top w:val="none" w:sz="0" w:space="0" w:color="auto"/>
        <w:left w:val="none" w:sz="0" w:space="0" w:color="auto"/>
        <w:bottom w:val="none" w:sz="0" w:space="0" w:color="auto"/>
        <w:right w:val="none" w:sz="0" w:space="0" w:color="auto"/>
      </w:divBdr>
    </w:div>
    <w:div w:id="1813253729">
      <w:bodyDiv w:val="1"/>
      <w:marLeft w:val="0"/>
      <w:marRight w:val="0"/>
      <w:marTop w:val="0"/>
      <w:marBottom w:val="0"/>
      <w:divBdr>
        <w:top w:val="none" w:sz="0" w:space="0" w:color="auto"/>
        <w:left w:val="none" w:sz="0" w:space="0" w:color="auto"/>
        <w:bottom w:val="none" w:sz="0" w:space="0" w:color="auto"/>
        <w:right w:val="none" w:sz="0" w:space="0" w:color="auto"/>
      </w:divBdr>
    </w:div>
    <w:div w:id="1856576800">
      <w:bodyDiv w:val="1"/>
      <w:marLeft w:val="0"/>
      <w:marRight w:val="0"/>
      <w:marTop w:val="0"/>
      <w:marBottom w:val="0"/>
      <w:divBdr>
        <w:top w:val="none" w:sz="0" w:space="0" w:color="auto"/>
        <w:left w:val="none" w:sz="0" w:space="0" w:color="auto"/>
        <w:bottom w:val="none" w:sz="0" w:space="0" w:color="auto"/>
        <w:right w:val="none" w:sz="0" w:space="0" w:color="auto"/>
      </w:divBdr>
    </w:div>
    <w:div w:id="2049404166">
      <w:bodyDiv w:val="1"/>
      <w:marLeft w:val="0"/>
      <w:marRight w:val="0"/>
      <w:marTop w:val="0"/>
      <w:marBottom w:val="0"/>
      <w:divBdr>
        <w:top w:val="none" w:sz="0" w:space="0" w:color="auto"/>
        <w:left w:val="none" w:sz="0" w:space="0" w:color="auto"/>
        <w:bottom w:val="none" w:sz="0" w:space="0" w:color="auto"/>
        <w:right w:val="none" w:sz="0" w:space="0" w:color="auto"/>
      </w:divBdr>
    </w:div>
    <w:div w:id="2088570840">
      <w:bodyDiv w:val="1"/>
      <w:marLeft w:val="0"/>
      <w:marRight w:val="0"/>
      <w:marTop w:val="0"/>
      <w:marBottom w:val="0"/>
      <w:divBdr>
        <w:top w:val="none" w:sz="0" w:space="0" w:color="auto"/>
        <w:left w:val="none" w:sz="0" w:space="0" w:color="auto"/>
        <w:bottom w:val="none" w:sz="0" w:space="0" w:color="auto"/>
        <w:right w:val="none" w:sz="0" w:space="0" w:color="auto"/>
      </w:divBdr>
    </w:div>
    <w:div w:id="2109815407">
      <w:bodyDiv w:val="1"/>
      <w:marLeft w:val="0"/>
      <w:marRight w:val="0"/>
      <w:marTop w:val="0"/>
      <w:marBottom w:val="0"/>
      <w:divBdr>
        <w:top w:val="none" w:sz="0" w:space="0" w:color="auto"/>
        <w:left w:val="none" w:sz="0" w:space="0" w:color="auto"/>
        <w:bottom w:val="none" w:sz="0" w:space="0" w:color="auto"/>
        <w:right w:val="none" w:sz="0" w:space="0" w:color="auto"/>
      </w:divBdr>
    </w:div>
    <w:div w:id="21338670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DB19B-5266-47FF-82EC-4D3B46339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Poonam Jaiswal</cp:lastModifiedBy>
  <cp:revision>5</cp:revision>
  <dcterms:created xsi:type="dcterms:W3CDTF">2018-06-05T16:31:00Z</dcterms:created>
  <dcterms:modified xsi:type="dcterms:W3CDTF">2018-06-13T17:22:00Z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