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E347B3" w:rsidRDefault="00E347B3" w:rsidP="00494130">
      <w:pPr>
        <w:pStyle w:val="1"/>
        <w:spacing w:before="170"/>
        <w:ind w:left="0"/>
        <w:rPr>
          <w:color w:val="337AB7"/>
        </w:rPr>
      </w:pPr>
      <w:r w:rsidRPr="00E347B3">
        <w:rPr>
          <w:color w:val="337AB7"/>
        </w:rPr>
        <w:t>Effects of Bamboo shavings Extract on Blood Pressure and Vascular Active Substance in Spontaneously Hypertensive Rats</w:t>
      </w:r>
    </w:p>
    <w:p w:rsidR="00D61716" w:rsidRDefault="00D61716" w:rsidP="005973B9">
      <w:pPr>
        <w:pStyle w:val="a3"/>
        <w:spacing w:before="73" w:line="198" w:lineRule="exact"/>
        <w:ind w:left="100" w:right="5987"/>
        <w:rPr>
          <w:rFonts w:ascii="Arial"/>
        </w:rPr>
      </w:pPr>
      <w:proofErr w:type="spellStart"/>
      <w:r w:rsidRPr="00D61716">
        <w:rPr>
          <w:rFonts w:ascii="Arial"/>
        </w:rPr>
        <w:t>Jianxin</w:t>
      </w:r>
      <w:proofErr w:type="spellEnd"/>
      <w:r w:rsidRPr="00D61716">
        <w:rPr>
          <w:rFonts w:ascii="Arial"/>
        </w:rPr>
        <w:t xml:space="preserve"> Han</w:t>
      </w:r>
      <w:r w:rsidR="005973B9">
        <w:rPr>
          <w:rFonts w:ascii="Arial"/>
        </w:rPr>
        <w:t xml:space="preserve">, PhD, </w:t>
      </w:r>
      <w:r w:rsidRPr="00D61716">
        <w:rPr>
          <w:rFonts w:ascii="Arial"/>
        </w:rPr>
        <w:t>Zhejiang University, China</w:t>
      </w:r>
    </w:p>
    <w:p w:rsidR="00464711" w:rsidRDefault="00464711" w:rsidP="005973B9">
      <w:pPr>
        <w:pStyle w:val="a3"/>
        <w:spacing w:before="73" w:line="198" w:lineRule="exact"/>
        <w:ind w:left="100" w:right="5987"/>
        <w:rPr>
          <w:rFonts w:ascii="Arial"/>
        </w:rPr>
      </w:pPr>
      <w:proofErr w:type="spellStart"/>
      <w:r w:rsidRPr="00464711">
        <w:rPr>
          <w:rFonts w:ascii="Arial" w:hint="eastAsia"/>
        </w:rPr>
        <w:t>Yanpei</w:t>
      </w:r>
      <w:proofErr w:type="spellEnd"/>
      <w:r>
        <w:rPr>
          <w:rFonts w:ascii="Arial"/>
        </w:rPr>
        <w:t xml:space="preserve"> </w:t>
      </w:r>
      <w:proofErr w:type="spellStart"/>
      <w:proofErr w:type="gramStart"/>
      <w:r w:rsidRPr="00464711">
        <w:rPr>
          <w:rFonts w:ascii="Arial" w:hint="eastAsia"/>
        </w:rPr>
        <w:t>Gu</w:t>
      </w:r>
      <w:proofErr w:type="spellEnd"/>
      <w:proofErr w:type="gramEnd"/>
      <w:r>
        <w:rPr>
          <w:rFonts w:ascii="Arial"/>
        </w:rPr>
        <w:t xml:space="preserve">, PhD, </w:t>
      </w:r>
      <w:r w:rsidRPr="00D61716">
        <w:rPr>
          <w:rFonts w:ascii="Arial"/>
        </w:rPr>
        <w:t>Zhejiang University, China</w:t>
      </w:r>
    </w:p>
    <w:p w:rsidR="005973B9" w:rsidRDefault="00D61716" w:rsidP="005973B9">
      <w:pPr>
        <w:pStyle w:val="a3"/>
        <w:spacing w:before="73" w:line="198" w:lineRule="exact"/>
        <w:ind w:left="100" w:right="5987"/>
        <w:rPr>
          <w:rFonts w:ascii="Arial"/>
        </w:rPr>
      </w:pPr>
      <w:r w:rsidRPr="00D61716">
        <w:rPr>
          <w:rFonts w:ascii="Arial"/>
        </w:rPr>
        <w:t>Ying Zhang</w:t>
      </w:r>
      <w:r>
        <w:rPr>
          <w:rFonts w:ascii="Arial"/>
        </w:rPr>
        <w:t xml:space="preserve">, </w:t>
      </w:r>
      <w:r w:rsidR="00D739E1" w:rsidRPr="00D739E1">
        <w:rPr>
          <w:rFonts w:ascii="Arial" w:hint="eastAsia"/>
        </w:rPr>
        <w:t>Prof.</w:t>
      </w:r>
      <w:r>
        <w:rPr>
          <w:rFonts w:ascii="Arial"/>
        </w:rPr>
        <w:t xml:space="preserve">, </w:t>
      </w:r>
      <w:r w:rsidRPr="00D61716">
        <w:rPr>
          <w:rFonts w:ascii="Arial"/>
        </w:rPr>
        <w:t>Zhejiang University, China</w:t>
      </w:r>
      <w:bookmarkStart w:id="0" w:name="_GoBack"/>
      <w:bookmarkEnd w:id="0"/>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(300 word limit)</w:t>
      </w:r>
    </w:p>
    <w:p w:rsidR="00F370AD" w:rsidRDefault="00F370AD" w:rsidP="00F370AD">
      <w:pPr>
        <w:pStyle w:val="a3"/>
        <w:spacing w:before="90" w:line="280" w:lineRule="auto"/>
        <w:ind w:left="100"/>
        <w:jc w:val="both"/>
      </w:pPr>
      <w:r w:rsidRPr="007A1A0D">
        <w:t>Bamboo shavings (</w:t>
      </w:r>
      <w:proofErr w:type="spellStart"/>
      <w:r w:rsidRPr="007A1A0D">
        <w:t>Bambusae</w:t>
      </w:r>
      <w:proofErr w:type="spellEnd"/>
      <w:r w:rsidRPr="007A1A0D">
        <w:t xml:space="preserve"> Caulis in </w:t>
      </w:r>
      <w:proofErr w:type="spellStart"/>
      <w:r w:rsidRPr="007A1A0D">
        <w:t>Taeniam</w:t>
      </w:r>
      <w:proofErr w:type="spellEnd"/>
      <w:r w:rsidRPr="007A1A0D">
        <w:t xml:space="preserve">, BCT) has been used as a traditional Chinese medicine for the treatment of hypertension and cardiovascular disease in China. </w:t>
      </w:r>
      <w:proofErr w:type="spellStart"/>
      <w:r w:rsidRPr="007A1A0D">
        <w:t>Objective</w:t>
      </w:r>
      <w:proofErr w:type="gramStart"/>
      <w:r w:rsidRPr="007A1A0D">
        <w:t>:To</w:t>
      </w:r>
      <w:proofErr w:type="spellEnd"/>
      <w:proofErr w:type="gramEnd"/>
      <w:r w:rsidRPr="007A1A0D">
        <w:t xml:space="preserve"> observe the control of the ethyl acetate fraction of BCT (BCE) on blood pressure and the changes of related indexes in spontaneously hypertensive rats. Methods:</w:t>
      </w:r>
      <w:r>
        <w:t xml:space="preserve"> </w:t>
      </w:r>
      <w:r w:rsidRPr="007A1A0D">
        <w:t>Four groups, 10 rats in each group. The drug was administered from the age of 14 weeks, once a day, and continuously administered for 5 weeks. Body weight, the systolic blood pressure and behavioral indexes of the rats were collected and taken out after 5 weeks administration. Results:</w:t>
      </w:r>
      <w:r w:rsidR="009C1DD2">
        <w:t xml:space="preserve"> </w:t>
      </w:r>
      <w:r w:rsidRPr="007A1A0D">
        <w:t>Compared with the each groups had a certain degree of reduction in systolic blood pressure (P&lt;0.05), among which the high dose of BCE had better antihypertensive effect than other groups. With the prolongation of the administration time, the rotation tolerance time and irritability scores were improved to different extents. After 5 weeks intervention with BCE, the serum ANGII concentration of the positive drug group and the high dose group of BCE was lower than that of the model group. The concentrations of NE, ET and TXB2 in each groups were lower than that in the model group (P&lt;0.05</w:t>
      </w:r>
      <w:proofErr w:type="gramStart"/>
      <w:r w:rsidRPr="007A1A0D">
        <w:t>) ,</w:t>
      </w:r>
      <w:proofErr w:type="gramEnd"/>
      <w:r w:rsidRPr="007A1A0D">
        <w:t xml:space="preserve"> and the concentration of CGRP was higher than that in the model group (P&lt;0.05) . </w:t>
      </w:r>
      <w:proofErr w:type="spellStart"/>
      <w:r w:rsidRPr="007A1A0D">
        <w:t>Conclusion</w:t>
      </w:r>
      <w:proofErr w:type="gramStart"/>
      <w:r w:rsidRPr="007A1A0D">
        <w:t>:The</w:t>
      </w:r>
      <w:proofErr w:type="spellEnd"/>
      <w:proofErr w:type="gramEnd"/>
      <w:r w:rsidRPr="007A1A0D">
        <w:t xml:space="preserve"> mechanism of antihypertensive effect of BCE may be related to reducing serum NE and ET contents and increasing serum CGRP content, and there is a dose effect relationship.</w:t>
      </w:r>
    </w:p>
    <w:p w:rsidR="00A35BDF" w:rsidRDefault="00A35BDF" w:rsidP="00A35BDF">
      <w:pPr>
        <w:pStyle w:val="3"/>
        <w:spacing w:before="74"/>
      </w:pPr>
      <w:r w:rsidRPr="00487F87">
        <w:rPr>
          <w:color w:val="BF5A14"/>
          <w:shd w:val="clear" w:color="auto" w:fill="FFFFFF" w:themeFill="background1"/>
        </w:rPr>
        <w:t>I</w:t>
      </w:r>
      <w:r>
        <w:rPr>
          <w:color w:val="BF5A14"/>
        </w:rPr>
        <w:t>mage</w:t>
      </w:r>
    </w:p>
    <w:p w:rsidR="00A35BDF" w:rsidRPr="00D92819" w:rsidRDefault="00A35BDF" w:rsidP="00A35BDF">
      <w:pPr>
        <w:spacing w:line="360" w:lineRule="auto"/>
        <w:ind w:firstLineChars="200" w:firstLine="440"/>
        <w:rPr>
          <w:b/>
        </w:rPr>
      </w:pPr>
      <w:r>
        <w:rPr>
          <w:noProof/>
          <w:lang w:eastAsia="zh-CN"/>
        </w:rPr>
        <w:drawing>
          <wp:inline distT="0" distB="0" distL="0" distR="0" wp14:anchorId="21F0DAAC" wp14:editId="3001CD28">
            <wp:extent cx="2439844" cy="189069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54052" cy="1901706"/>
                    </a:xfrm>
                    <a:prstGeom prst="rect">
                      <a:avLst/>
                    </a:prstGeom>
                  </pic:spPr>
                </pic:pic>
              </a:graphicData>
            </a:graphic>
          </wp:inline>
        </w:drawing>
      </w:r>
    </w:p>
    <w:p w:rsidR="00A35BDF" w:rsidRPr="00D92819" w:rsidRDefault="00A35BDF" w:rsidP="00A35BDF">
      <w:pPr>
        <w:spacing w:line="240" w:lineRule="exact"/>
        <w:jc w:val="both"/>
        <w:rPr>
          <w:sz w:val="18"/>
          <w:szCs w:val="18"/>
        </w:rPr>
      </w:pPr>
      <w:r w:rsidRPr="00D92819">
        <w:rPr>
          <w:b/>
          <w:sz w:val="18"/>
          <w:szCs w:val="18"/>
        </w:rPr>
        <w:t>Fig</w:t>
      </w:r>
      <w:r>
        <w:rPr>
          <w:b/>
          <w:sz w:val="18"/>
          <w:szCs w:val="18"/>
        </w:rPr>
        <w:t xml:space="preserve"> 1</w:t>
      </w:r>
      <w:r w:rsidRPr="00D92819">
        <w:rPr>
          <w:b/>
          <w:sz w:val="18"/>
          <w:szCs w:val="18"/>
        </w:rPr>
        <w:t>. The influence of hypertension on oxidative stress and inflammatory reaction</w:t>
      </w:r>
    </w:p>
    <w:p w:rsidR="00A35BDF" w:rsidRDefault="00A35BDF">
      <w:pPr>
        <w:pStyle w:val="3"/>
        <w:spacing w:before="147"/>
        <w:jc w:val="both"/>
      </w:pPr>
    </w:p>
    <w:p w:rsidR="005973B9" w:rsidRDefault="00A9710C" w:rsidP="00A35BDF">
      <w:pPr>
        <w:pStyle w:val="3"/>
        <w:spacing w:before="74"/>
        <w:rPr>
          <w:b w:val="0"/>
        </w:rPr>
      </w:pPr>
      <w:r>
        <w:rPr>
          <w:b w:val="0"/>
        </w:rPr>
        <w:br w:type="column"/>
      </w:r>
      <w:r w:rsidR="005973B9">
        <w:rPr>
          <w:color w:val="BF5A14"/>
        </w:rPr>
        <w:t>Rec</w:t>
      </w:r>
      <w:r w:rsidR="005973B9" w:rsidRPr="003340CC">
        <w:rPr>
          <w:color w:val="BF5A14"/>
        </w:rPr>
        <w:t>ent Publications (mini</w:t>
      </w:r>
      <w:r w:rsidR="005973B9">
        <w:rPr>
          <w:color w:val="BF5A14"/>
        </w:rPr>
        <w:t>mum 5)</w:t>
      </w:r>
    </w:p>
    <w:p w:rsidR="005973B9" w:rsidRDefault="00CD40B2" w:rsidP="00CD40B2">
      <w:pPr>
        <w:pStyle w:val="a5"/>
        <w:numPr>
          <w:ilvl w:val="0"/>
          <w:numId w:val="3"/>
        </w:numPr>
        <w:tabs>
          <w:tab w:val="left" w:pos="384"/>
        </w:tabs>
        <w:spacing w:before="103" w:line="216" w:lineRule="exact"/>
        <w:ind w:right="138"/>
        <w:rPr>
          <w:sz w:val="18"/>
        </w:rPr>
      </w:pPr>
      <w:r w:rsidRPr="00CD40B2">
        <w:rPr>
          <w:sz w:val="18"/>
        </w:rPr>
        <w:t>Neal, B</w:t>
      </w:r>
      <w:proofErr w:type="gramStart"/>
      <w:r w:rsidRPr="00CD40B2">
        <w:rPr>
          <w:sz w:val="18"/>
        </w:rPr>
        <w:t>. ,</w:t>
      </w:r>
      <w:proofErr w:type="gramEnd"/>
      <w:r w:rsidRPr="00CD40B2">
        <w:rPr>
          <w:sz w:val="18"/>
        </w:rPr>
        <w:t xml:space="preserve"> </w:t>
      </w:r>
      <w:proofErr w:type="spellStart"/>
      <w:r w:rsidRPr="00CD40B2">
        <w:rPr>
          <w:sz w:val="18"/>
        </w:rPr>
        <w:t>Macmahon</w:t>
      </w:r>
      <w:proofErr w:type="spellEnd"/>
      <w:r w:rsidRPr="00CD40B2">
        <w:rPr>
          <w:sz w:val="18"/>
        </w:rPr>
        <w:t xml:space="preserve">, S. , Chapman, N. , Cutler, J. , &amp; Woodward, M. . (2000). Effects of ace inhibitors, calcium antagonists, and other blood-pressure-lowering drugs: results of prospectively designed overviews of </w:t>
      </w:r>
      <w:proofErr w:type="spellStart"/>
      <w:r w:rsidRPr="00CD40B2">
        <w:rPr>
          <w:sz w:val="18"/>
        </w:rPr>
        <w:t>randomised</w:t>
      </w:r>
      <w:proofErr w:type="spellEnd"/>
      <w:r w:rsidRPr="00CD40B2">
        <w:rPr>
          <w:sz w:val="18"/>
        </w:rPr>
        <w:t xml:space="preserve"> trials. The Lancet, 356(9246), 1955-1964.</w:t>
      </w:r>
    </w:p>
    <w:p w:rsidR="005973B9" w:rsidRDefault="00E711A4" w:rsidP="00E711A4">
      <w:pPr>
        <w:pStyle w:val="a5"/>
        <w:numPr>
          <w:ilvl w:val="0"/>
          <w:numId w:val="3"/>
        </w:numPr>
        <w:tabs>
          <w:tab w:val="left" w:pos="384"/>
        </w:tabs>
        <w:spacing w:line="216" w:lineRule="exact"/>
        <w:ind w:right="137"/>
        <w:rPr>
          <w:sz w:val="18"/>
        </w:rPr>
      </w:pPr>
      <w:proofErr w:type="spellStart"/>
      <w:r w:rsidRPr="00E711A4">
        <w:rPr>
          <w:sz w:val="18"/>
        </w:rPr>
        <w:t>D'Amours</w:t>
      </w:r>
      <w:proofErr w:type="spellEnd"/>
      <w:r w:rsidRPr="00E711A4">
        <w:rPr>
          <w:sz w:val="18"/>
        </w:rPr>
        <w:t>, M</w:t>
      </w:r>
      <w:proofErr w:type="gramStart"/>
      <w:r w:rsidRPr="00E711A4">
        <w:rPr>
          <w:sz w:val="18"/>
        </w:rPr>
        <w:t>. ,</w:t>
      </w:r>
      <w:proofErr w:type="gramEnd"/>
      <w:r w:rsidRPr="00E711A4">
        <w:rPr>
          <w:sz w:val="18"/>
        </w:rPr>
        <w:t xml:space="preserve"> </w:t>
      </w:r>
      <w:proofErr w:type="spellStart"/>
      <w:r w:rsidRPr="00E711A4">
        <w:rPr>
          <w:sz w:val="18"/>
        </w:rPr>
        <w:t>Chbinou</w:t>
      </w:r>
      <w:proofErr w:type="spellEnd"/>
      <w:r w:rsidRPr="00E711A4">
        <w:rPr>
          <w:sz w:val="18"/>
        </w:rPr>
        <w:t xml:space="preserve">, N. , Beaudoin, J. , </w:t>
      </w:r>
      <w:proofErr w:type="spellStart"/>
      <w:r w:rsidRPr="00E711A4">
        <w:rPr>
          <w:sz w:val="18"/>
        </w:rPr>
        <w:t>Lebel</w:t>
      </w:r>
      <w:proofErr w:type="spellEnd"/>
      <w:r w:rsidRPr="00E711A4">
        <w:rPr>
          <w:sz w:val="18"/>
        </w:rPr>
        <w:t xml:space="preserve">, M. , &amp; Richard </w:t>
      </w:r>
      <w:proofErr w:type="spellStart"/>
      <w:r w:rsidRPr="00E711A4">
        <w:rPr>
          <w:sz w:val="18"/>
        </w:rPr>
        <w:t>Larivière</w:t>
      </w:r>
      <w:proofErr w:type="spellEnd"/>
      <w:r w:rsidRPr="00E711A4">
        <w:rPr>
          <w:sz w:val="18"/>
        </w:rPr>
        <w:t xml:space="preserve">. (2010). Increased et-1 and reduced </w:t>
      </w:r>
      <w:proofErr w:type="gramStart"/>
      <w:r w:rsidRPr="00E711A4">
        <w:rPr>
          <w:sz w:val="18"/>
        </w:rPr>
        <w:t>et</w:t>
      </w:r>
      <w:proofErr w:type="gramEnd"/>
      <w:r w:rsidRPr="00E711A4">
        <w:rPr>
          <w:sz w:val="18"/>
        </w:rPr>
        <w:t xml:space="preserve"> b receptor expression in uremic hypertensive rats. Clinical and Experimental Hypertension, 32(1), 61-69.</w:t>
      </w:r>
    </w:p>
    <w:p w:rsidR="005973B9" w:rsidRDefault="00E711A4" w:rsidP="00E711A4">
      <w:pPr>
        <w:pStyle w:val="a5"/>
        <w:numPr>
          <w:ilvl w:val="0"/>
          <w:numId w:val="3"/>
        </w:numPr>
        <w:tabs>
          <w:tab w:val="left" w:pos="384"/>
        </w:tabs>
        <w:spacing w:line="216" w:lineRule="exact"/>
        <w:ind w:right="138"/>
        <w:rPr>
          <w:sz w:val="18"/>
        </w:rPr>
      </w:pPr>
      <w:r w:rsidRPr="00E711A4">
        <w:rPr>
          <w:sz w:val="18"/>
        </w:rPr>
        <w:t>Berg, R. M. G</w:t>
      </w:r>
      <w:proofErr w:type="gramStart"/>
      <w:r w:rsidRPr="00E711A4">
        <w:rPr>
          <w:sz w:val="18"/>
        </w:rPr>
        <w:t>. ,</w:t>
      </w:r>
      <w:proofErr w:type="gramEnd"/>
      <w:r w:rsidRPr="00E711A4">
        <w:rPr>
          <w:sz w:val="18"/>
        </w:rPr>
        <w:t xml:space="preserve"> </w:t>
      </w:r>
      <w:proofErr w:type="spellStart"/>
      <w:r w:rsidRPr="00E711A4">
        <w:rPr>
          <w:sz w:val="18"/>
        </w:rPr>
        <w:t>Taudorf</w:t>
      </w:r>
      <w:proofErr w:type="spellEnd"/>
      <w:r w:rsidRPr="00E711A4">
        <w:rPr>
          <w:sz w:val="18"/>
        </w:rPr>
        <w:t xml:space="preserve">, S. , Bailey, D. M. , Dahl, R. H. , </w:t>
      </w:r>
      <w:proofErr w:type="spellStart"/>
      <w:r w:rsidRPr="00E711A4">
        <w:rPr>
          <w:sz w:val="18"/>
        </w:rPr>
        <w:t>Lundby</w:t>
      </w:r>
      <w:proofErr w:type="spellEnd"/>
      <w:r w:rsidRPr="00E711A4">
        <w:rPr>
          <w:sz w:val="18"/>
        </w:rPr>
        <w:t xml:space="preserve">, C. , &amp; Kirsten </w:t>
      </w:r>
      <w:proofErr w:type="spellStart"/>
      <w:r w:rsidRPr="00E711A4">
        <w:rPr>
          <w:sz w:val="18"/>
        </w:rPr>
        <w:t>Møller</w:t>
      </w:r>
      <w:proofErr w:type="spellEnd"/>
      <w:r w:rsidRPr="00E711A4">
        <w:rPr>
          <w:sz w:val="18"/>
        </w:rPr>
        <w:t xml:space="preserve">. (2017). </w:t>
      </w:r>
      <w:proofErr w:type="spellStart"/>
      <w:r w:rsidRPr="00E711A4">
        <w:rPr>
          <w:sz w:val="18"/>
        </w:rPr>
        <w:t>Transcerebral</w:t>
      </w:r>
      <w:proofErr w:type="spellEnd"/>
      <w:r w:rsidRPr="00E711A4">
        <w:rPr>
          <w:sz w:val="18"/>
        </w:rPr>
        <w:t xml:space="preserve"> net exchange of vasoactive peptides and </w:t>
      </w:r>
      <w:proofErr w:type="spellStart"/>
      <w:r w:rsidRPr="00E711A4">
        <w:rPr>
          <w:sz w:val="18"/>
        </w:rPr>
        <w:t>catecholamines</w:t>
      </w:r>
      <w:proofErr w:type="spellEnd"/>
      <w:r w:rsidRPr="00E711A4">
        <w:rPr>
          <w:sz w:val="18"/>
        </w:rPr>
        <w:t xml:space="preserve"> during lipopolysaccharide-induced systemic inflammation in healthy humans. Canadian Journal of Physiology &amp; Pharmacology, 96(3).</w:t>
      </w:r>
    </w:p>
    <w:p w:rsidR="005973B9" w:rsidRPr="00E711A4" w:rsidRDefault="00E711A4" w:rsidP="00E711A4">
      <w:pPr>
        <w:pStyle w:val="a5"/>
        <w:numPr>
          <w:ilvl w:val="0"/>
          <w:numId w:val="3"/>
        </w:numPr>
        <w:tabs>
          <w:tab w:val="left" w:pos="384"/>
        </w:tabs>
        <w:spacing w:line="216" w:lineRule="exact"/>
        <w:ind w:right="138"/>
        <w:rPr>
          <w:sz w:val="18"/>
        </w:rPr>
      </w:pPr>
      <w:proofErr w:type="spellStart"/>
      <w:r w:rsidRPr="00E711A4">
        <w:rPr>
          <w:sz w:val="18"/>
        </w:rPr>
        <w:t>Dorfmüller</w:t>
      </w:r>
      <w:proofErr w:type="spellEnd"/>
      <w:r w:rsidRPr="00E711A4">
        <w:rPr>
          <w:sz w:val="18"/>
        </w:rPr>
        <w:t xml:space="preserve">, P., </w:t>
      </w:r>
      <w:proofErr w:type="spellStart"/>
      <w:r w:rsidRPr="00E711A4">
        <w:rPr>
          <w:sz w:val="18"/>
        </w:rPr>
        <w:t>Perros</w:t>
      </w:r>
      <w:proofErr w:type="spellEnd"/>
      <w:r w:rsidRPr="00E711A4">
        <w:rPr>
          <w:sz w:val="18"/>
        </w:rPr>
        <w:t xml:space="preserve">, F., </w:t>
      </w:r>
      <w:proofErr w:type="spellStart"/>
      <w:r w:rsidRPr="00E711A4">
        <w:rPr>
          <w:sz w:val="18"/>
        </w:rPr>
        <w:t>Balabanian</w:t>
      </w:r>
      <w:proofErr w:type="spellEnd"/>
      <w:r w:rsidRPr="00E711A4">
        <w:rPr>
          <w:sz w:val="18"/>
        </w:rPr>
        <w:t>, K., &amp; Humbert, M. (2012). Inflammation in pulmonary arterial hypertension. , 141(1), 210.</w:t>
      </w:r>
    </w:p>
    <w:p w:rsidR="005973B9" w:rsidRDefault="00CD40B2" w:rsidP="00CD40B2">
      <w:pPr>
        <w:pStyle w:val="a3"/>
        <w:numPr>
          <w:ilvl w:val="0"/>
          <w:numId w:val="3"/>
        </w:numPr>
        <w:spacing w:before="85" w:line="216" w:lineRule="exact"/>
        <w:ind w:right="138"/>
        <w:jc w:val="both"/>
        <w:rPr>
          <w:rFonts w:ascii="Calibri" w:hAnsi="Calibri"/>
        </w:rPr>
      </w:pPr>
      <w:r w:rsidRPr="00CD40B2">
        <w:rPr>
          <w:rFonts w:ascii="Calibri" w:hAnsi="Calibri"/>
        </w:rPr>
        <w:t>Justin Rucker, A</w:t>
      </w:r>
      <w:proofErr w:type="gramStart"/>
      <w:r w:rsidRPr="00CD40B2">
        <w:rPr>
          <w:rFonts w:ascii="Calibri" w:hAnsi="Calibri"/>
        </w:rPr>
        <w:t>. ,</w:t>
      </w:r>
      <w:proofErr w:type="gramEnd"/>
      <w:r w:rsidRPr="00CD40B2">
        <w:rPr>
          <w:rFonts w:ascii="Calibri" w:hAnsi="Calibri"/>
        </w:rPr>
        <w:t xml:space="preserve"> &amp; Crowley, S. D. . (2017). </w:t>
      </w:r>
      <w:proofErr w:type="gramStart"/>
      <w:r w:rsidRPr="00CD40B2">
        <w:rPr>
          <w:rFonts w:ascii="Calibri" w:hAnsi="Calibri"/>
        </w:rPr>
        <w:t>The</w:t>
      </w:r>
      <w:proofErr w:type="gramEnd"/>
      <w:r w:rsidRPr="00CD40B2">
        <w:rPr>
          <w:rFonts w:ascii="Calibri" w:hAnsi="Calibri"/>
        </w:rPr>
        <w:t xml:space="preserve"> role of macrophages in hypertension and its complications. </w:t>
      </w:r>
      <w:proofErr w:type="spellStart"/>
      <w:r w:rsidRPr="00CD40B2">
        <w:rPr>
          <w:rFonts w:ascii="Calibri" w:hAnsi="Calibri"/>
        </w:rPr>
        <w:t>Pflügers</w:t>
      </w:r>
      <w:proofErr w:type="spellEnd"/>
      <w:r w:rsidRPr="00CD40B2">
        <w:rPr>
          <w:rFonts w:ascii="Calibri" w:hAnsi="Calibri"/>
        </w:rPr>
        <w:t xml:space="preserve"> </w:t>
      </w:r>
      <w:proofErr w:type="spellStart"/>
      <w:r w:rsidRPr="00CD40B2">
        <w:rPr>
          <w:rFonts w:ascii="Calibri" w:hAnsi="Calibri"/>
        </w:rPr>
        <w:t>Archiv</w:t>
      </w:r>
      <w:proofErr w:type="spellEnd"/>
      <w:r w:rsidRPr="00CD40B2">
        <w:rPr>
          <w:rFonts w:ascii="Calibri" w:hAnsi="Calibri"/>
        </w:rPr>
        <w:t xml:space="preserve"> - European Journal of Physiology, 469(3-4), 419-430.</w:t>
      </w:r>
    </w:p>
    <w:p w:rsidR="00CD40B2" w:rsidRPr="00CD40B2" w:rsidRDefault="00CD40B2" w:rsidP="007E5D47">
      <w:pPr>
        <w:pStyle w:val="a5"/>
        <w:numPr>
          <w:ilvl w:val="0"/>
          <w:numId w:val="3"/>
        </w:numPr>
        <w:spacing w:before="85" w:line="216" w:lineRule="exact"/>
        <w:ind w:right="138"/>
      </w:pPr>
      <w:r w:rsidRPr="00CD40B2">
        <w:rPr>
          <w:rFonts w:eastAsia="Tw Cen MT" w:cs="Tw Cen MT"/>
          <w:sz w:val="18"/>
          <w:szCs w:val="18"/>
        </w:rPr>
        <w:t>Dionne, J. M</w:t>
      </w:r>
      <w:proofErr w:type="gramStart"/>
      <w:r w:rsidRPr="00CD40B2">
        <w:rPr>
          <w:rFonts w:eastAsia="Tw Cen MT" w:cs="Tw Cen MT"/>
          <w:sz w:val="18"/>
          <w:szCs w:val="18"/>
        </w:rPr>
        <w:t>. ,</w:t>
      </w:r>
      <w:proofErr w:type="gramEnd"/>
      <w:r w:rsidRPr="00CD40B2">
        <w:rPr>
          <w:rFonts w:eastAsia="Tw Cen MT" w:cs="Tw Cen MT"/>
          <w:sz w:val="18"/>
          <w:szCs w:val="18"/>
        </w:rPr>
        <w:t xml:space="preserve"> Harris, K. C. , Benoit, Geneviève, </w:t>
      </w:r>
      <w:proofErr w:type="spellStart"/>
      <w:r w:rsidRPr="00CD40B2">
        <w:rPr>
          <w:rFonts w:eastAsia="Tw Cen MT" w:cs="Tw Cen MT"/>
          <w:sz w:val="18"/>
          <w:szCs w:val="18"/>
        </w:rPr>
        <w:t>Feber</w:t>
      </w:r>
      <w:proofErr w:type="spellEnd"/>
      <w:r w:rsidRPr="00CD40B2">
        <w:rPr>
          <w:rFonts w:eastAsia="Tw Cen MT" w:cs="Tw Cen MT"/>
          <w:sz w:val="18"/>
          <w:szCs w:val="18"/>
        </w:rPr>
        <w:t xml:space="preserve">, J. , Poirier, L. , &amp; </w:t>
      </w:r>
      <w:proofErr w:type="spellStart"/>
      <w:r w:rsidRPr="00CD40B2">
        <w:rPr>
          <w:rFonts w:eastAsia="Tw Cen MT" w:cs="Tw Cen MT"/>
          <w:sz w:val="18"/>
          <w:szCs w:val="18"/>
        </w:rPr>
        <w:t>Cloutier</w:t>
      </w:r>
      <w:proofErr w:type="spellEnd"/>
      <w:r w:rsidRPr="00CD40B2">
        <w:rPr>
          <w:rFonts w:eastAsia="Tw Cen MT" w:cs="Tw Cen MT"/>
          <w:sz w:val="18"/>
          <w:szCs w:val="18"/>
        </w:rPr>
        <w:t>, L. , et al. (2017). Hypertension Canada's 2017 Guidelines for the Diagnosis, Assessment, Prevention, and Treatment of Pediatric Hypertension. Canadian Journal of Cardiology, 33(5), 577-585.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4FA4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77270F" w:rsidP="00404E5B">
      <w:pPr>
        <w:spacing w:before="92"/>
        <w:ind w:right="4234"/>
        <w:rPr>
          <w:rFonts w:ascii="Arial"/>
        </w:rPr>
      </w:pPr>
      <w:r>
        <w:rPr>
          <w:noProof/>
        </w:rPr>
        <w:t xml:space="preserve">       </w:t>
      </w:r>
      <w:r w:rsidRPr="0077270F">
        <w:rPr>
          <w:noProof/>
          <w:lang w:eastAsia="zh-CN"/>
        </w:rPr>
        <w:drawing>
          <wp:inline distT="0" distB="0" distL="0" distR="0">
            <wp:extent cx="580390" cy="637698"/>
            <wp:effectExtent l="0" t="0" r="0" b="0"/>
            <wp:docPr id="2" name="图片 2" descr="D:\D 盘\浙大\1寸照片\1寸照片---单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 盘\浙大\1寸照片\1寸照片---单张.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469" cy="665253"/>
                    </a:xfrm>
                    <a:prstGeom prst="rect">
                      <a:avLst/>
                    </a:prstGeom>
                    <a:noFill/>
                    <a:ln>
                      <a:noFill/>
                    </a:ln>
                  </pic:spPr>
                </pic:pic>
              </a:graphicData>
            </a:graphic>
          </wp:inline>
        </w:drawing>
      </w:r>
      <w:r w:rsidRPr="0077270F">
        <w:rPr>
          <w:noProof/>
        </w:rPr>
        <w:t xml:space="preserve"> </w:t>
      </w:r>
      <w:r w:rsidR="00A9710C">
        <w:rPr>
          <w:rFonts w:ascii="Arial"/>
          <w:color w:val="BF5A14"/>
        </w:rPr>
        <w:t>Biography</w:t>
      </w:r>
      <w:r w:rsidR="00404E5B">
        <w:rPr>
          <w:rFonts w:ascii="Arial"/>
          <w:color w:val="BF5A14"/>
        </w:rPr>
        <w:t xml:space="preserve"> (150 word limit)</w:t>
      </w:r>
    </w:p>
    <w:p w:rsidR="00671AFF" w:rsidRPr="00671AFF" w:rsidRDefault="00671AFF" w:rsidP="00671AFF">
      <w:pPr>
        <w:rPr>
          <w:rFonts w:ascii="Arial"/>
          <w:sz w:val="14"/>
        </w:rPr>
      </w:pPr>
      <w:proofErr w:type="spellStart"/>
      <w:r w:rsidRPr="00671AFF">
        <w:rPr>
          <w:rFonts w:ascii="Arial"/>
          <w:sz w:val="14"/>
        </w:rPr>
        <w:t>Jianxin</w:t>
      </w:r>
      <w:proofErr w:type="spellEnd"/>
      <w:r w:rsidRPr="00671AFF">
        <w:rPr>
          <w:rFonts w:ascii="Arial"/>
          <w:sz w:val="14"/>
        </w:rPr>
        <w:t xml:space="preserve"> Han has completed his PhD from University of Chinese Academy of Sciences, China and postdoctoral studies from Zhejiang University, China. His</w:t>
      </w:r>
      <w:r w:rsidRPr="00671AFF">
        <w:rPr>
          <w:rFonts w:ascii="Arial"/>
          <w:sz w:val="14"/>
        </w:rPr>
        <w:t> </w:t>
      </w:r>
      <w:r w:rsidRPr="00671AFF">
        <w:rPr>
          <w:rFonts w:ascii="Arial"/>
          <w:sz w:val="14"/>
        </w:rPr>
        <w:t xml:space="preserve">research focuses on the extraction and purification of natural </w:t>
      </w:r>
      <w:proofErr w:type="spellStart"/>
      <w:r w:rsidRPr="00671AFF">
        <w:rPr>
          <w:rFonts w:ascii="Arial"/>
          <w:sz w:val="14"/>
        </w:rPr>
        <w:t>flavonoides</w:t>
      </w:r>
      <w:proofErr w:type="spellEnd"/>
      <w:r w:rsidRPr="00671AFF">
        <w:rPr>
          <w:rFonts w:ascii="Arial"/>
          <w:sz w:val="14"/>
        </w:rPr>
        <w:t>, the synthesis and structure of flavonoid metal complexes and their pharmaceutical activity.</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FA2E3D" w:rsidRPr="00FA2E3D">
          <w:rPr>
            <w:rStyle w:val="ac"/>
            <w:rFonts w:ascii="Arial"/>
            <w:sz w:val="15"/>
            <w:szCs w:val="15"/>
          </w:rPr>
          <w:t>77454287@</w:t>
        </w:r>
        <w:r w:rsidR="00FA2E3D" w:rsidRPr="00FA2E3D">
          <w:rPr>
            <w:rStyle w:val="ac"/>
            <w:rFonts w:ascii="Times New Roman" w:eastAsiaTheme="minorEastAsia" w:hAnsi="Times New Roman" w:cs="Times New Roman"/>
            <w:sz w:val="15"/>
            <w:szCs w:val="15"/>
            <w:lang w:eastAsia="zh-CN"/>
          </w:rPr>
          <w:t>qq</w:t>
        </w:r>
        <w:r w:rsidR="00FA2E3D" w:rsidRPr="00FA2E3D">
          <w:rPr>
            <w:rStyle w:val="ac"/>
            <w:rFonts w:ascii="Arial"/>
            <w:sz w:val="15"/>
            <w:szCs w:val="15"/>
          </w:rPr>
          <w:t>.com</w:t>
        </w:r>
      </w:hyperlink>
    </w:p>
    <w:p w:rsidR="00AE3E37" w:rsidRDefault="00292ED9">
      <w:pPr>
        <w:pStyle w:val="a3"/>
        <w:spacing w:before="2"/>
        <w:rPr>
          <w:rFonts w:ascii="Arial"/>
          <w:sz w:val="19"/>
        </w:rPr>
      </w:pPr>
      <w:r>
        <w:rPr>
          <w:noProof/>
          <w:lang w:eastAsia="zh-C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0A4F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B46" w:rsidRDefault="00831B46">
      <w:r>
        <w:separator/>
      </w:r>
    </w:p>
  </w:endnote>
  <w:endnote w:type="continuationSeparator" w:id="0">
    <w:p w:rsidR="00831B46" w:rsidRDefault="00831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B46" w:rsidRDefault="00831B46">
      <w:r>
        <w:separator/>
      </w:r>
    </w:p>
  </w:footnote>
  <w:footnote w:type="continuationSeparator" w:id="0">
    <w:p w:rsidR="00831B46" w:rsidRDefault="00831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317C"/>
    <w:rsid w:val="00292ED9"/>
    <w:rsid w:val="00331D7B"/>
    <w:rsid w:val="003340CC"/>
    <w:rsid w:val="00404E5B"/>
    <w:rsid w:val="00414F7B"/>
    <w:rsid w:val="004355DC"/>
    <w:rsid w:val="00464711"/>
    <w:rsid w:val="004749B4"/>
    <w:rsid w:val="00487F87"/>
    <w:rsid w:val="00494130"/>
    <w:rsid w:val="004F3523"/>
    <w:rsid w:val="005973B9"/>
    <w:rsid w:val="005B33DB"/>
    <w:rsid w:val="005B3A56"/>
    <w:rsid w:val="006060CE"/>
    <w:rsid w:val="0063497F"/>
    <w:rsid w:val="00671AFF"/>
    <w:rsid w:val="0077270F"/>
    <w:rsid w:val="007A1A0D"/>
    <w:rsid w:val="008111E6"/>
    <w:rsid w:val="00831B46"/>
    <w:rsid w:val="00873DF0"/>
    <w:rsid w:val="008756E6"/>
    <w:rsid w:val="009642F3"/>
    <w:rsid w:val="009B2D44"/>
    <w:rsid w:val="009C1DD2"/>
    <w:rsid w:val="00A07E82"/>
    <w:rsid w:val="00A169B5"/>
    <w:rsid w:val="00A35BDF"/>
    <w:rsid w:val="00A645C0"/>
    <w:rsid w:val="00A82E39"/>
    <w:rsid w:val="00A9710C"/>
    <w:rsid w:val="00AE3E37"/>
    <w:rsid w:val="00B203A5"/>
    <w:rsid w:val="00B21A57"/>
    <w:rsid w:val="00C33602"/>
    <w:rsid w:val="00CD40B2"/>
    <w:rsid w:val="00CD6F55"/>
    <w:rsid w:val="00D61716"/>
    <w:rsid w:val="00D739E1"/>
    <w:rsid w:val="00D941D6"/>
    <w:rsid w:val="00DE3104"/>
    <w:rsid w:val="00E347B3"/>
    <w:rsid w:val="00E711A4"/>
    <w:rsid w:val="00F370AD"/>
    <w:rsid w:val="00F72EEA"/>
    <w:rsid w:val="00F84CAE"/>
    <w:rsid w:val="00FA2E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07903"/>
  <w15:docId w15:val="{C6A85C89-8666-49B1-9441-E37E72D8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77454287@qq.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用户</cp:lastModifiedBy>
  <cp:revision>24</cp:revision>
  <dcterms:created xsi:type="dcterms:W3CDTF">2016-12-21T08:58:00Z</dcterms:created>
  <dcterms:modified xsi:type="dcterms:W3CDTF">2019-12-16T07:40:00Z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