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5449" w:rsidRPr="00736E84" w:rsidRDefault="00EC5449" w:rsidP="00EC5449">
      <w:pPr>
        <w:spacing w:line="360" w:lineRule="auto"/>
        <w:ind w:left="1440"/>
        <w:rPr>
          <w:rFonts w:ascii="Times New Roman" w:hAnsi="Times New Roman" w:cs="Times New Roman"/>
          <w:b/>
          <w:sz w:val="32"/>
          <w:szCs w:val="32"/>
        </w:rPr>
      </w:pPr>
      <w:r w:rsidRPr="00736E84">
        <w:rPr>
          <w:rFonts w:ascii="Times New Roman" w:hAnsi="Times New Roman" w:cs="Times New Roman"/>
          <w:b/>
          <w:sz w:val="32"/>
          <w:szCs w:val="32"/>
        </w:rPr>
        <w:t>Storage stability of beetroot candy</w:t>
      </w:r>
    </w:p>
    <w:p w:rsidR="00EC5449" w:rsidRDefault="00EC5449" w:rsidP="00EC5449">
      <w:pPr>
        <w:autoSpaceDE w:val="0"/>
        <w:autoSpaceDN w:val="0"/>
        <w:adjustRightInd w:val="0"/>
        <w:spacing w:after="0" w:line="360" w:lineRule="auto"/>
        <w:jc w:val="center"/>
        <w:rPr>
          <w:rFonts w:ascii="Times New Roman" w:hAnsi="Times New Roman" w:cs="Times New Roman"/>
          <w:b/>
          <w:sz w:val="24"/>
          <w:szCs w:val="24"/>
          <w:vertAlign w:val="superscript"/>
        </w:rPr>
      </w:pPr>
      <w:proofErr w:type="spellStart"/>
      <w:r w:rsidRPr="0016284C">
        <w:rPr>
          <w:rFonts w:ascii="Times New Roman" w:hAnsi="Times New Roman" w:cs="Times New Roman"/>
          <w:b/>
          <w:sz w:val="24"/>
          <w:szCs w:val="24"/>
        </w:rPr>
        <w:t>Bhupinder</w:t>
      </w:r>
      <w:proofErr w:type="spellEnd"/>
      <w:r w:rsidRPr="0016284C">
        <w:rPr>
          <w:rFonts w:ascii="Times New Roman" w:hAnsi="Times New Roman" w:cs="Times New Roman"/>
          <w:b/>
          <w:sz w:val="24"/>
          <w:szCs w:val="24"/>
        </w:rPr>
        <w:t xml:space="preserve"> Singh</w:t>
      </w:r>
    </w:p>
    <w:p w:rsidR="00EC5449" w:rsidRPr="0016284C" w:rsidRDefault="00EC5449" w:rsidP="00EC5449">
      <w:pPr>
        <w:autoSpaceDE w:val="0"/>
        <w:autoSpaceDN w:val="0"/>
        <w:adjustRightInd w:val="0"/>
        <w:spacing w:after="0" w:line="360" w:lineRule="auto"/>
        <w:jc w:val="center"/>
        <w:rPr>
          <w:rFonts w:ascii="Times New Roman" w:hAnsi="Times New Roman" w:cs="Times New Roman"/>
          <w:b/>
          <w:sz w:val="24"/>
          <w:szCs w:val="24"/>
        </w:rPr>
      </w:pPr>
      <w:r w:rsidRPr="0016284C">
        <w:rPr>
          <w:rFonts w:ascii="Times New Roman" w:hAnsi="Times New Roman" w:cs="Times New Roman"/>
          <w:b/>
          <w:sz w:val="24"/>
          <w:szCs w:val="24"/>
        </w:rPr>
        <w:t>CDL State Institute Of Engineering and Technology,</w:t>
      </w:r>
      <w:r>
        <w:rPr>
          <w:rFonts w:ascii="Times New Roman" w:hAnsi="Times New Roman" w:cs="Times New Roman"/>
          <w:b/>
          <w:sz w:val="24"/>
          <w:szCs w:val="24"/>
        </w:rPr>
        <w:t xml:space="preserve"> </w:t>
      </w:r>
      <w:proofErr w:type="spellStart"/>
      <w:r w:rsidRPr="0016284C">
        <w:rPr>
          <w:rFonts w:ascii="Times New Roman" w:hAnsi="Times New Roman" w:cs="Times New Roman"/>
          <w:b/>
          <w:sz w:val="24"/>
          <w:szCs w:val="24"/>
        </w:rPr>
        <w:t>Panniwala</w:t>
      </w:r>
      <w:proofErr w:type="spellEnd"/>
      <w:r w:rsidRPr="0016284C">
        <w:rPr>
          <w:rFonts w:ascii="Times New Roman" w:hAnsi="Times New Roman" w:cs="Times New Roman"/>
          <w:b/>
          <w:sz w:val="24"/>
          <w:szCs w:val="24"/>
        </w:rPr>
        <w:t xml:space="preserve"> </w:t>
      </w:r>
      <w:proofErr w:type="spellStart"/>
      <w:r w:rsidRPr="0016284C">
        <w:rPr>
          <w:rFonts w:ascii="Times New Roman" w:hAnsi="Times New Roman" w:cs="Times New Roman"/>
          <w:b/>
          <w:sz w:val="24"/>
          <w:szCs w:val="24"/>
        </w:rPr>
        <w:t>Mota</w:t>
      </w:r>
      <w:proofErr w:type="spellEnd"/>
      <w:r w:rsidRPr="0016284C">
        <w:rPr>
          <w:rFonts w:ascii="Times New Roman" w:hAnsi="Times New Roman" w:cs="Times New Roman"/>
          <w:b/>
          <w:sz w:val="24"/>
          <w:szCs w:val="24"/>
        </w:rPr>
        <w:t xml:space="preserve"> (</w:t>
      </w:r>
      <w:proofErr w:type="spellStart"/>
      <w:r w:rsidRPr="0016284C">
        <w:rPr>
          <w:rFonts w:ascii="Times New Roman" w:hAnsi="Times New Roman" w:cs="Times New Roman"/>
          <w:b/>
          <w:sz w:val="24"/>
          <w:szCs w:val="24"/>
        </w:rPr>
        <w:t>Sirsa</w:t>
      </w:r>
      <w:proofErr w:type="spellEnd"/>
      <w:r w:rsidRPr="0016284C">
        <w:rPr>
          <w:rFonts w:ascii="Times New Roman" w:hAnsi="Times New Roman" w:cs="Times New Roman"/>
          <w:b/>
          <w:sz w:val="24"/>
          <w:szCs w:val="24"/>
        </w:rPr>
        <w:t>)</w:t>
      </w:r>
      <w:proofErr w:type="gramStart"/>
      <w:r w:rsidRPr="0016284C">
        <w:rPr>
          <w:rFonts w:ascii="Times New Roman" w:hAnsi="Times New Roman" w:cs="Times New Roman"/>
          <w:b/>
          <w:sz w:val="24"/>
          <w:szCs w:val="24"/>
        </w:rPr>
        <w:t>,</w:t>
      </w:r>
      <w:proofErr w:type="spellStart"/>
      <w:r w:rsidRPr="0016284C">
        <w:rPr>
          <w:rFonts w:ascii="Times New Roman" w:hAnsi="Times New Roman" w:cs="Times New Roman"/>
          <w:b/>
          <w:sz w:val="24"/>
          <w:szCs w:val="24"/>
        </w:rPr>
        <w:t>Haryana,India</w:t>
      </w:r>
      <w:proofErr w:type="spellEnd"/>
      <w:proofErr w:type="gramEnd"/>
    </w:p>
    <w:p w:rsidR="00EC5449" w:rsidRPr="0016284C" w:rsidRDefault="00EC5449" w:rsidP="00EC5449">
      <w:pPr>
        <w:autoSpaceDE w:val="0"/>
        <w:autoSpaceDN w:val="0"/>
        <w:adjustRightInd w:val="0"/>
        <w:spacing w:after="0" w:line="360" w:lineRule="auto"/>
        <w:jc w:val="center"/>
        <w:rPr>
          <w:rFonts w:ascii="Times New Roman" w:hAnsi="Times New Roman" w:cs="Times New Roman"/>
          <w:b/>
          <w:sz w:val="24"/>
          <w:szCs w:val="24"/>
        </w:rPr>
      </w:pPr>
      <w:r w:rsidRPr="0016284C">
        <w:rPr>
          <w:rFonts w:ascii="Times New Roman" w:hAnsi="Times New Roman" w:cs="Times New Roman"/>
          <w:b/>
          <w:sz w:val="24"/>
          <w:szCs w:val="24"/>
        </w:rPr>
        <w:t>*Corresponding author:bhupimander@rediffmail.com</w:t>
      </w:r>
    </w:p>
    <w:p w:rsidR="00EC5449" w:rsidRPr="0016284C" w:rsidRDefault="00EC5449" w:rsidP="00EC5449">
      <w:pPr>
        <w:autoSpaceDE w:val="0"/>
        <w:autoSpaceDN w:val="0"/>
        <w:adjustRightInd w:val="0"/>
        <w:spacing w:after="0" w:line="360" w:lineRule="auto"/>
        <w:rPr>
          <w:rFonts w:ascii="Times New Roman" w:hAnsi="Times New Roman" w:cs="Times New Roman"/>
          <w:b/>
          <w:sz w:val="24"/>
          <w:szCs w:val="24"/>
        </w:rPr>
      </w:pPr>
      <w:r w:rsidRPr="0016284C">
        <w:rPr>
          <w:rFonts w:ascii="Times New Roman" w:hAnsi="Times New Roman" w:cs="Times New Roman"/>
          <w:b/>
          <w:sz w:val="24"/>
          <w:szCs w:val="24"/>
        </w:rPr>
        <w:t>Abstract</w:t>
      </w:r>
    </w:p>
    <w:p w:rsidR="00EC5449" w:rsidRDefault="00EC5449" w:rsidP="00EC5449">
      <w:pPr>
        <w:autoSpaceDE w:val="0"/>
        <w:autoSpaceDN w:val="0"/>
        <w:adjustRightInd w:val="0"/>
        <w:spacing w:after="0" w:line="480" w:lineRule="auto"/>
        <w:jc w:val="both"/>
        <w:rPr>
          <w:rFonts w:ascii="Times New Roman" w:hAnsi="Times New Roman" w:cs="Times New Roman"/>
          <w:color w:val="131313"/>
          <w:sz w:val="24"/>
          <w:szCs w:val="24"/>
        </w:rPr>
      </w:pPr>
      <w:proofErr w:type="spellStart"/>
      <w:r w:rsidRPr="008D2A04">
        <w:rPr>
          <w:rFonts w:ascii="Times New Roman" w:hAnsi="Times New Roman" w:cs="Times New Roman"/>
          <w:sz w:val="24"/>
          <w:szCs w:val="24"/>
        </w:rPr>
        <w:t>Osmo</w:t>
      </w:r>
      <w:proofErr w:type="spellEnd"/>
      <w:r w:rsidRPr="008D2A04">
        <w:rPr>
          <w:rFonts w:ascii="Times New Roman" w:hAnsi="Times New Roman" w:cs="Times New Roman"/>
          <w:sz w:val="24"/>
          <w:szCs w:val="24"/>
        </w:rPr>
        <w:t xml:space="preserve">-convective dehydration of beetroot candy is an interesting alternative for the development of confectionary-based functional food with extended shelf life. </w:t>
      </w:r>
      <w:proofErr w:type="spellStart"/>
      <w:r w:rsidRPr="008D2A04">
        <w:rPr>
          <w:rFonts w:ascii="Times New Roman" w:hAnsi="Times New Roman" w:cs="Times New Roman"/>
          <w:sz w:val="24"/>
          <w:szCs w:val="24"/>
        </w:rPr>
        <w:t>Osmo</w:t>
      </w:r>
      <w:proofErr w:type="spellEnd"/>
      <w:r w:rsidRPr="008D2A04">
        <w:rPr>
          <w:rFonts w:ascii="Times New Roman" w:hAnsi="Times New Roman" w:cs="Times New Roman"/>
          <w:sz w:val="24"/>
          <w:szCs w:val="24"/>
        </w:rPr>
        <w:t xml:space="preserve">-convective dehydrated beetroot candy was </w:t>
      </w:r>
      <w:r w:rsidRPr="008D2A04">
        <w:rPr>
          <w:rFonts w:ascii="Times New Roman" w:eastAsia="Arial Unicode MS" w:hAnsi="Times New Roman" w:cs="Times New Roman"/>
          <w:sz w:val="24"/>
          <w:szCs w:val="24"/>
        </w:rPr>
        <w:t>packed in three different packaging materials </w:t>
      </w:r>
      <w:r w:rsidRPr="008D2A04">
        <w:rPr>
          <w:rFonts w:ascii="Times New Roman" w:eastAsia="Arial Unicode MS" w:hAnsi="Times New Roman" w:cs="Times New Roman"/>
          <w:iCs/>
          <w:sz w:val="24"/>
          <w:szCs w:val="24"/>
        </w:rPr>
        <w:t>viz.</w:t>
      </w:r>
      <w:r w:rsidRPr="008D2A04">
        <w:rPr>
          <w:rFonts w:ascii="Times New Roman" w:eastAsia="Arial Unicode MS" w:hAnsi="Times New Roman" w:cs="Times New Roman"/>
          <w:sz w:val="24"/>
          <w:szCs w:val="24"/>
        </w:rPr>
        <w:t>, HDPE, LDPE and LAP and stored at room temperature (25-30</w:t>
      </w:r>
      <w:r w:rsidRPr="008D2A04">
        <w:rPr>
          <w:rFonts w:ascii="Times New Roman" w:eastAsia="Arial Unicode MS" w:hAnsi="Times New Roman" w:cs="Times New Roman"/>
          <w:sz w:val="24"/>
          <w:szCs w:val="24"/>
          <w:vertAlign w:val="superscript"/>
        </w:rPr>
        <w:t>o</w:t>
      </w:r>
      <w:r w:rsidRPr="008D2A04">
        <w:rPr>
          <w:rFonts w:ascii="Times New Roman" w:eastAsia="Arial Unicode MS" w:hAnsi="Times New Roman" w:cs="Times New Roman"/>
          <w:sz w:val="24"/>
          <w:szCs w:val="24"/>
        </w:rPr>
        <w:t xml:space="preserve">C, RH 50-70%). Changes in physico-chemical properties </w:t>
      </w:r>
      <w:proofErr w:type="gramStart"/>
      <w:r w:rsidRPr="008D2A04">
        <w:rPr>
          <w:rFonts w:ascii="Times New Roman" w:eastAsia="Arial Unicode MS" w:hAnsi="Times New Roman" w:cs="Times New Roman"/>
          <w:sz w:val="24"/>
          <w:szCs w:val="24"/>
        </w:rPr>
        <w:t>of</w:t>
      </w:r>
      <w:proofErr w:type="gramEnd"/>
      <w:r w:rsidRPr="008D2A04">
        <w:rPr>
          <w:rFonts w:ascii="Times New Roman" w:eastAsia="Arial Unicode MS" w:hAnsi="Times New Roman" w:cs="Times New Roman"/>
          <w:sz w:val="24"/>
          <w:szCs w:val="24"/>
        </w:rPr>
        <w:t xml:space="preserve"> beetroot candy were evaluated during storage (</w:t>
      </w:r>
      <w:r w:rsidRPr="008D2A04">
        <w:rPr>
          <w:rFonts w:ascii="Times New Roman" w:hAnsi="Times New Roman" w:cs="Times New Roman"/>
          <w:sz w:val="24"/>
          <w:szCs w:val="24"/>
        </w:rPr>
        <w:t>at 0, 1, 2, 3, 4, 5 and 6 months)</w:t>
      </w:r>
      <w:r w:rsidRPr="008D2A04">
        <w:rPr>
          <w:rFonts w:ascii="Times New Roman" w:eastAsia="Arial Unicode MS" w:hAnsi="Times New Roman" w:cs="Times New Roman"/>
          <w:sz w:val="24"/>
          <w:szCs w:val="24"/>
        </w:rPr>
        <w:t>.</w:t>
      </w:r>
      <w:r w:rsidRPr="008D2A04">
        <w:rPr>
          <w:rFonts w:ascii="Times New Roman" w:hAnsi="Times New Roman" w:cs="Times New Roman"/>
          <w:color w:val="131313"/>
          <w:sz w:val="24"/>
          <w:szCs w:val="24"/>
        </w:rPr>
        <w:t xml:space="preserve"> During storage,</w:t>
      </w:r>
      <w:r>
        <w:rPr>
          <w:rFonts w:ascii="Times New Roman" w:hAnsi="Times New Roman" w:cs="Times New Roman"/>
          <w:color w:val="131313"/>
          <w:sz w:val="24"/>
          <w:szCs w:val="24"/>
        </w:rPr>
        <w:t xml:space="preserve"> </w:t>
      </w:r>
      <w:r w:rsidRPr="008D2A04">
        <w:rPr>
          <w:rFonts w:ascii="Times New Roman" w:eastAsia="Arial Unicode MS" w:hAnsi="Times New Roman" w:cs="Times New Roman"/>
          <w:sz w:val="24"/>
          <w:szCs w:val="24"/>
        </w:rPr>
        <w:t xml:space="preserve">moisture content, </w:t>
      </w:r>
      <w:proofErr w:type="spellStart"/>
      <w:r w:rsidRPr="008D2A04">
        <w:rPr>
          <w:rFonts w:ascii="Times New Roman" w:eastAsia="Arial Unicode MS" w:hAnsi="Times New Roman" w:cs="Times New Roman"/>
          <w:sz w:val="24"/>
          <w:szCs w:val="24"/>
        </w:rPr>
        <w:t>colour</w:t>
      </w:r>
      <w:proofErr w:type="spellEnd"/>
      <w:r w:rsidRPr="008D2A04">
        <w:rPr>
          <w:rFonts w:ascii="Times New Roman" w:eastAsia="Arial Unicode MS" w:hAnsi="Times New Roman" w:cs="Times New Roman"/>
          <w:sz w:val="24"/>
          <w:szCs w:val="24"/>
        </w:rPr>
        <w:t xml:space="preserve">, and </w:t>
      </w:r>
      <w:proofErr w:type="spellStart"/>
      <w:r w:rsidRPr="008D2A04">
        <w:rPr>
          <w:rFonts w:ascii="Times New Roman" w:eastAsia="Arial Unicode MS" w:hAnsi="Times New Roman" w:cs="Times New Roman"/>
          <w:sz w:val="24"/>
          <w:szCs w:val="24"/>
        </w:rPr>
        <w:t>betalain</w:t>
      </w:r>
      <w:proofErr w:type="spellEnd"/>
      <w:r w:rsidRPr="008D2A04">
        <w:rPr>
          <w:rFonts w:ascii="Times New Roman" w:eastAsia="Arial Unicode MS" w:hAnsi="Times New Roman" w:cs="Times New Roman"/>
          <w:sz w:val="24"/>
          <w:szCs w:val="24"/>
        </w:rPr>
        <w:t xml:space="preserve"> content of beetroot candy were varied to different extent depending upon the type of packaging material. </w:t>
      </w:r>
      <w:r w:rsidRPr="008D2A04">
        <w:rPr>
          <w:rFonts w:ascii="Times New Roman" w:hAnsi="Times New Roman" w:cs="Times New Roman"/>
          <w:sz w:val="24"/>
          <w:szCs w:val="24"/>
        </w:rPr>
        <w:t>Compared to other packaging materials, beetroot candy packed in LDPE showed considerable changes in physicochemical properties during storage</w:t>
      </w:r>
      <w:r w:rsidRPr="008D2A04">
        <w:rPr>
          <w:rFonts w:ascii="Times New Roman" w:hAnsi="Times New Roman" w:cs="Times New Roman"/>
          <w:color w:val="131313"/>
          <w:sz w:val="24"/>
          <w:szCs w:val="24"/>
        </w:rPr>
        <w:t xml:space="preserve"> .The magnitude of  change in physicochemical properties of beetroot candy as well as  sensory attribute during storage suggests that laminated aluminum package (LAP) is  best for long storage of beetroot candy.</w:t>
      </w:r>
    </w:p>
    <w:p w:rsidR="00EC5449" w:rsidRPr="008D2A04" w:rsidRDefault="00EC5449" w:rsidP="00EC5449">
      <w:pPr>
        <w:autoSpaceDE w:val="0"/>
        <w:autoSpaceDN w:val="0"/>
        <w:adjustRightInd w:val="0"/>
        <w:spacing w:after="0" w:line="480" w:lineRule="auto"/>
        <w:jc w:val="both"/>
        <w:rPr>
          <w:rFonts w:ascii="Times New Roman" w:hAnsi="Times New Roman" w:cs="Times New Roman"/>
          <w:sz w:val="24"/>
          <w:szCs w:val="24"/>
        </w:rPr>
      </w:pPr>
      <w:r w:rsidRPr="008D2A04">
        <w:rPr>
          <w:rFonts w:ascii="Times New Roman" w:hAnsi="Times New Roman" w:cs="Times New Roman"/>
          <w:b/>
          <w:color w:val="131313"/>
          <w:sz w:val="24"/>
          <w:szCs w:val="24"/>
        </w:rPr>
        <w:t>Key words:</w:t>
      </w:r>
      <w:r>
        <w:rPr>
          <w:rFonts w:ascii="Times New Roman" w:hAnsi="Times New Roman" w:cs="Times New Roman"/>
          <w:color w:val="131313"/>
          <w:sz w:val="24"/>
          <w:szCs w:val="24"/>
        </w:rPr>
        <w:t xml:space="preserve"> beetroot candy, storage, LDPE, LAP</w:t>
      </w:r>
    </w:p>
    <w:tbl>
      <w:tblPr>
        <w:tblW w:w="4500" w:type="pct"/>
        <w:jc w:val="center"/>
        <w:tblCellSpacing w:w="15" w:type="dxa"/>
        <w:tblCellMar>
          <w:top w:w="15" w:type="dxa"/>
          <w:left w:w="15" w:type="dxa"/>
          <w:bottom w:w="15" w:type="dxa"/>
          <w:right w:w="15" w:type="dxa"/>
        </w:tblCellMar>
        <w:tblLook w:val="04A0"/>
      </w:tblPr>
      <w:tblGrid>
        <w:gridCol w:w="8505"/>
      </w:tblGrid>
      <w:tr w:rsidR="00EC5449" w:rsidRPr="0016284C" w:rsidTr="00E8574B">
        <w:trPr>
          <w:tblCellSpacing w:w="15" w:type="dxa"/>
          <w:jc w:val="center"/>
        </w:trPr>
        <w:tc>
          <w:tcPr>
            <w:tcW w:w="0" w:type="auto"/>
            <w:tcBorders>
              <w:top w:val="nil"/>
              <w:left w:val="nil"/>
              <w:bottom w:val="nil"/>
              <w:right w:val="nil"/>
            </w:tcBorders>
            <w:tcMar>
              <w:top w:w="0" w:type="dxa"/>
              <w:left w:w="15" w:type="dxa"/>
              <w:bottom w:w="0" w:type="dxa"/>
              <w:right w:w="15" w:type="dxa"/>
            </w:tcMar>
            <w:vAlign w:val="center"/>
            <w:hideMark/>
          </w:tcPr>
          <w:tbl>
            <w:tblPr>
              <w:tblpPr w:leftFromText="45" w:rightFromText="45" w:vertAnchor="text"/>
              <w:tblW w:w="5000" w:type="pct"/>
              <w:tblCellSpacing w:w="15" w:type="dxa"/>
              <w:tblCellMar>
                <w:top w:w="15" w:type="dxa"/>
                <w:left w:w="15" w:type="dxa"/>
                <w:bottom w:w="15" w:type="dxa"/>
                <w:right w:w="15" w:type="dxa"/>
              </w:tblCellMar>
              <w:tblLook w:val="04A0"/>
            </w:tblPr>
            <w:tblGrid>
              <w:gridCol w:w="8415"/>
            </w:tblGrid>
            <w:tr w:rsidR="00EC5449" w:rsidRPr="0016284C" w:rsidTr="00E8574B">
              <w:trPr>
                <w:tblCellSpacing w:w="15" w:type="dxa"/>
              </w:trPr>
              <w:tc>
                <w:tcPr>
                  <w:tcW w:w="0" w:type="auto"/>
                  <w:tcMar>
                    <w:top w:w="0" w:type="dxa"/>
                    <w:left w:w="15" w:type="dxa"/>
                    <w:bottom w:w="0" w:type="dxa"/>
                    <w:right w:w="15" w:type="dxa"/>
                  </w:tcMar>
                  <w:vAlign w:val="center"/>
                  <w:hideMark/>
                </w:tcPr>
                <w:tbl>
                  <w:tblPr>
                    <w:tblpPr w:leftFromText="45" w:rightFromText="45" w:vertAnchor="text"/>
                    <w:tblW w:w="5000" w:type="pct"/>
                    <w:tblCellSpacing w:w="15" w:type="dxa"/>
                    <w:tblCellMar>
                      <w:top w:w="15" w:type="dxa"/>
                      <w:left w:w="15" w:type="dxa"/>
                      <w:bottom w:w="15" w:type="dxa"/>
                      <w:right w:w="15" w:type="dxa"/>
                    </w:tblCellMar>
                    <w:tblLook w:val="04A0"/>
                  </w:tblPr>
                  <w:tblGrid>
                    <w:gridCol w:w="8325"/>
                  </w:tblGrid>
                  <w:tr w:rsidR="00EC5449" w:rsidRPr="0016284C" w:rsidTr="00E8574B">
                    <w:trPr>
                      <w:tblCellSpacing w:w="15" w:type="dxa"/>
                    </w:trPr>
                    <w:tc>
                      <w:tcPr>
                        <w:tcW w:w="0" w:type="auto"/>
                        <w:tcMar>
                          <w:top w:w="0" w:type="dxa"/>
                          <w:left w:w="15" w:type="dxa"/>
                          <w:bottom w:w="0" w:type="dxa"/>
                          <w:right w:w="15" w:type="dxa"/>
                        </w:tcMar>
                        <w:hideMark/>
                      </w:tcPr>
                      <w:tbl>
                        <w:tblPr>
                          <w:tblpPr w:leftFromText="45" w:rightFromText="45" w:vertAnchor="text"/>
                          <w:tblW w:w="5000" w:type="pct"/>
                          <w:tblCellSpacing w:w="15" w:type="dxa"/>
                          <w:tblCellMar>
                            <w:top w:w="15" w:type="dxa"/>
                            <w:left w:w="15" w:type="dxa"/>
                            <w:right w:w="15" w:type="dxa"/>
                          </w:tblCellMar>
                          <w:tblLook w:val="04A0"/>
                        </w:tblPr>
                        <w:tblGrid>
                          <w:gridCol w:w="8235"/>
                        </w:tblGrid>
                        <w:tr w:rsidR="00EC5449" w:rsidRPr="0016284C" w:rsidTr="00E8574B">
                          <w:trPr>
                            <w:tblCellSpacing w:w="15" w:type="dxa"/>
                          </w:trPr>
                          <w:tc>
                            <w:tcPr>
                              <w:tcW w:w="0" w:type="auto"/>
                              <w:tcMar>
                                <w:top w:w="0" w:type="dxa"/>
                                <w:left w:w="15" w:type="dxa"/>
                                <w:bottom w:w="0" w:type="dxa"/>
                                <w:right w:w="15" w:type="dxa"/>
                              </w:tcMar>
                              <w:hideMark/>
                            </w:tcPr>
                            <w:tbl>
                              <w:tblPr>
                                <w:tblW w:w="5000" w:type="pct"/>
                                <w:tblCellSpacing w:w="0" w:type="dxa"/>
                                <w:tblCellMar>
                                  <w:left w:w="0" w:type="dxa"/>
                                  <w:right w:w="0" w:type="dxa"/>
                                </w:tblCellMar>
                                <w:tblLook w:val="04A0"/>
                              </w:tblPr>
                              <w:tblGrid>
                                <w:gridCol w:w="8145"/>
                              </w:tblGrid>
                              <w:tr w:rsidR="00EC5449" w:rsidRPr="0016284C" w:rsidTr="00E8574B">
                                <w:trPr>
                                  <w:tblCellSpacing w:w="0" w:type="dxa"/>
                                </w:trPr>
                                <w:tc>
                                  <w:tcPr>
                                    <w:tcW w:w="0" w:type="auto"/>
                                    <w:vAlign w:val="center"/>
                                    <w:hideMark/>
                                  </w:tcPr>
                                  <w:p w:rsidR="00EC5449" w:rsidRPr="0016284C" w:rsidRDefault="00EC5449" w:rsidP="00E8574B">
                                    <w:pPr>
                                      <w:spacing w:before="196" w:after="0" w:line="480" w:lineRule="auto"/>
                                      <w:rPr>
                                        <w:rFonts w:ascii="Arial Unicode MS" w:eastAsia="Arial Unicode MS" w:hAnsi="Arial Unicode MS" w:cs="Arial Unicode MS"/>
                                        <w:sz w:val="20"/>
                                        <w:szCs w:val="20"/>
                                      </w:rPr>
                                    </w:pPr>
                                    <w:bookmarkStart w:id="0" w:name="top"/>
                                  </w:p>
                                </w:tc>
                              </w:tr>
                            </w:tbl>
                            <w:p w:rsidR="00EC5449" w:rsidRPr="0016284C" w:rsidRDefault="00EC5449" w:rsidP="00E8574B">
                              <w:pPr>
                                <w:spacing w:after="0" w:line="480" w:lineRule="auto"/>
                                <w:rPr>
                                  <w:rFonts w:ascii="Arial Unicode MS" w:eastAsia="Arial Unicode MS" w:hAnsi="Arial Unicode MS" w:cs="Arial Unicode MS"/>
                                  <w:sz w:val="20"/>
                                  <w:szCs w:val="20"/>
                                </w:rPr>
                              </w:pPr>
                            </w:p>
                          </w:tc>
                        </w:tr>
                      </w:tbl>
                      <w:p w:rsidR="00EC5449" w:rsidRPr="0016284C" w:rsidRDefault="00EC5449" w:rsidP="00E8574B">
                        <w:pPr>
                          <w:spacing w:after="0" w:line="480" w:lineRule="auto"/>
                          <w:rPr>
                            <w:rFonts w:ascii="Arial Unicode MS" w:eastAsia="Arial Unicode MS" w:hAnsi="Arial Unicode MS" w:cs="Arial Unicode MS"/>
                            <w:sz w:val="20"/>
                            <w:szCs w:val="20"/>
                          </w:rPr>
                        </w:pPr>
                      </w:p>
                    </w:tc>
                  </w:tr>
                </w:tbl>
                <w:p w:rsidR="00EC5449" w:rsidRPr="0016284C" w:rsidRDefault="00EC5449" w:rsidP="00E8574B">
                  <w:pPr>
                    <w:spacing w:after="0" w:line="480" w:lineRule="auto"/>
                    <w:rPr>
                      <w:rFonts w:ascii="Arial Unicode MS" w:eastAsia="Arial Unicode MS" w:hAnsi="Arial Unicode MS" w:cs="Arial Unicode MS"/>
                      <w:sz w:val="20"/>
                      <w:szCs w:val="20"/>
                    </w:rPr>
                  </w:pPr>
                </w:p>
              </w:tc>
            </w:tr>
          </w:tbl>
          <w:p w:rsidR="00EC5449" w:rsidRPr="0016284C" w:rsidRDefault="00EC5449" w:rsidP="00E8574B">
            <w:pPr>
              <w:spacing w:after="0" w:line="480" w:lineRule="auto"/>
              <w:rPr>
                <w:rFonts w:ascii="Arial Unicode MS" w:eastAsia="Arial Unicode MS" w:hAnsi="Arial Unicode MS" w:cs="Arial Unicode MS"/>
                <w:sz w:val="20"/>
                <w:szCs w:val="20"/>
              </w:rPr>
            </w:pPr>
          </w:p>
        </w:tc>
      </w:tr>
      <w:bookmarkEnd w:id="0"/>
    </w:tbl>
    <w:p w:rsidR="00EC5449" w:rsidRPr="0016284C" w:rsidRDefault="00EC5449" w:rsidP="00EC5449">
      <w:pPr>
        <w:autoSpaceDE w:val="0"/>
        <w:autoSpaceDN w:val="0"/>
        <w:adjustRightInd w:val="0"/>
        <w:spacing w:after="0" w:line="360" w:lineRule="auto"/>
        <w:rPr>
          <w:rFonts w:ascii="Times New Roman" w:hAnsi="Times New Roman" w:cs="Times New Roman"/>
          <w:b/>
          <w:sz w:val="24"/>
          <w:szCs w:val="24"/>
        </w:rPr>
      </w:pPr>
    </w:p>
    <w:p w:rsidR="00C02679" w:rsidRDefault="00C02679"/>
    <w:sectPr w:rsidR="00C0267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EC5449"/>
    <w:rsid w:val="00C02679"/>
    <w:rsid w:val="00EC54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182</Words>
  <Characters>1041</Characters>
  <Application>Microsoft Office Word</Application>
  <DocSecurity>0</DocSecurity>
  <Lines>8</Lines>
  <Paragraphs>2</Paragraphs>
  <ScaleCrop>false</ScaleCrop>
  <Company/>
  <LinksUpToDate>false</LinksUpToDate>
  <CharactersWithSpaces>1221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sky</dc:creator>
  <cp:keywords/>
  <dc:description/>
  <cp:lastModifiedBy>sky</cp:lastModifiedBy>
  <cp:revision>2</cp:revision>
  <dcterms:created xsi:type="dcterms:W3CDTF">2017-05-19T01:54:00Z</dcterms:created>
  <dcterms:modified xsi:type="dcterms:W3CDTF">2017-05-19T01:54:00Z</dcterms:modified>
</cp:coreProperties>
</file>