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4A6" w:rsidRPr="00ED24A6" w:rsidRDefault="00ED24A6" w:rsidP="00ED24A6">
      <w:pPr>
        <w:jc w:val="center"/>
        <w:rPr>
          <w:rFonts w:ascii="Arial" w:hAnsi="Arial" w:cs="Arial"/>
          <w:b/>
          <w:iCs/>
          <w:sz w:val="28"/>
          <w:szCs w:val="24"/>
        </w:rPr>
      </w:pPr>
      <w:r w:rsidRPr="00ED24A6">
        <w:rPr>
          <w:rFonts w:ascii="Arial" w:hAnsi="Arial" w:cs="Arial"/>
          <w:b/>
          <w:sz w:val="28"/>
          <w:szCs w:val="24"/>
        </w:rPr>
        <w:t xml:space="preserve">Agro waste Cauliflower greens </w:t>
      </w:r>
      <w:r w:rsidRPr="00ED24A6">
        <w:rPr>
          <w:rFonts w:ascii="Arial" w:hAnsi="Arial" w:cs="Arial"/>
          <w:b/>
          <w:i/>
          <w:iCs/>
          <w:sz w:val="28"/>
          <w:szCs w:val="24"/>
        </w:rPr>
        <w:t>(</w:t>
      </w:r>
      <w:proofErr w:type="spellStart"/>
      <w:r w:rsidRPr="00ED24A6">
        <w:rPr>
          <w:rFonts w:ascii="Arial" w:hAnsi="Arial" w:cs="Arial"/>
          <w:b/>
          <w:i/>
          <w:iCs/>
          <w:sz w:val="28"/>
          <w:szCs w:val="24"/>
        </w:rPr>
        <w:t>Brassica</w:t>
      </w:r>
      <w:proofErr w:type="spellEnd"/>
      <w:r w:rsidRPr="00ED24A6">
        <w:rPr>
          <w:rFonts w:ascii="Arial" w:hAnsi="Arial" w:cs="Arial"/>
          <w:b/>
          <w:i/>
          <w:iCs/>
          <w:sz w:val="28"/>
          <w:szCs w:val="24"/>
        </w:rPr>
        <w:t xml:space="preserve"> </w:t>
      </w:r>
      <w:proofErr w:type="spellStart"/>
      <w:r w:rsidRPr="00ED24A6">
        <w:rPr>
          <w:rFonts w:ascii="Arial" w:hAnsi="Arial" w:cs="Arial"/>
          <w:b/>
          <w:i/>
          <w:iCs/>
          <w:sz w:val="28"/>
          <w:szCs w:val="24"/>
        </w:rPr>
        <w:t>oleracea</w:t>
      </w:r>
      <w:proofErr w:type="spellEnd"/>
      <w:r w:rsidRPr="00ED24A6">
        <w:rPr>
          <w:rFonts w:ascii="Arial" w:hAnsi="Arial" w:cs="Arial"/>
          <w:b/>
          <w:i/>
          <w:iCs/>
          <w:sz w:val="28"/>
          <w:szCs w:val="24"/>
        </w:rPr>
        <w:t xml:space="preserve">) </w:t>
      </w:r>
      <w:r w:rsidRPr="00ED24A6">
        <w:rPr>
          <w:rFonts w:ascii="Arial" w:hAnsi="Arial" w:cs="Arial"/>
          <w:b/>
          <w:iCs/>
          <w:sz w:val="28"/>
          <w:szCs w:val="24"/>
        </w:rPr>
        <w:t>as a potential nutraceutical resource</w:t>
      </w:r>
    </w:p>
    <w:p w:rsidR="002667A5" w:rsidRPr="00ED24A6" w:rsidRDefault="002667A5" w:rsidP="00ED24A6">
      <w:pPr>
        <w:jc w:val="both"/>
        <w:rPr>
          <w:rFonts w:ascii="Arial" w:hAnsi="Arial" w:cs="Arial"/>
          <w:sz w:val="24"/>
          <w:szCs w:val="24"/>
        </w:rPr>
      </w:pPr>
    </w:p>
    <w:p w:rsidR="00ED24A6" w:rsidRPr="00ED24A6" w:rsidRDefault="00ED24A6" w:rsidP="00ED24A6">
      <w:pPr>
        <w:jc w:val="both"/>
        <w:rPr>
          <w:rFonts w:ascii="Arial" w:hAnsi="Arial" w:cs="Arial"/>
          <w:sz w:val="24"/>
          <w:szCs w:val="24"/>
        </w:rPr>
      </w:pPr>
      <w:r w:rsidRPr="00ED24A6">
        <w:rPr>
          <w:rFonts w:ascii="Arial" w:hAnsi="Arial" w:cs="Arial"/>
          <w:b/>
          <w:sz w:val="24"/>
          <w:szCs w:val="24"/>
        </w:rPr>
        <w:t>Background</w:t>
      </w:r>
      <w:r w:rsidRPr="00ED24A6">
        <w:rPr>
          <w:rFonts w:ascii="Arial" w:hAnsi="Arial" w:cs="Arial"/>
          <w:sz w:val="24"/>
          <w:szCs w:val="24"/>
        </w:rPr>
        <w:t>: Integrated Post Harvest Management (IPHM), i.e., 100% utilization of the production in one form or the other can provide adequate income enhancement and remove poverty as well as food and nutritional security along with its potential as a nutraceutical resource.</w:t>
      </w:r>
    </w:p>
    <w:p w:rsidR="00ED24A6" w:rsidRPr="00ED24A6" w:rsidRDefault="00ED24A6" w:rsidP="00ED24A6">
      <w:pPr>
        <w:jc w:val="both"/>
        <w:rPr>
          <w:rFonts w:ascii="Arial" w:hAnsi="Arial" w:cs="Arial"/>
          <w:iCs/>
          <w:sz w:val="24"/>
          <w:szCs w:val="24"/>
        </w:rPr>
      </w:pPr>
      <w:r w:rsidRPr="00ED24A6">
        <w:rPr>
          <w:rFonts w:ascii="Arial" w:hAnsi="Arial" w:cs="Arial"/>
          <w:b/>
          <w:sz w:val="24"/>
          <w:szCs w:val="24"/>
        </w:rPr>
        <w:t>Aim:</w:t>
      </w:r>
      <w:r w:rsidRPr="00ED24A6">
        <w:rPr>
          <w:rFonts w:ascii="Arial" w:hAnsi="Arial" w:cs="Arial"/>
          <w:sz w:val="24"/>
          <w:szCs w:val="24"/>
        </w:rPr>
        <w:t xml:space="preserve"> To assess the potential of agro waste Cauliflower greens </w:t>
      </w:r>
      <w:r w:rsidRPr="00ED24A6">
        <w:rPr>
          <w:rFonts w:ascii="Arial" w:hAnsi="Arial" w:cs="Arial"/>
          <w:i/>
          <w:iCs/>
          <w:sz w:val="24"/>
          <w:szCs w:val="24"/>
        </w:rPr>
        <w:t>(</w:t>
      </w:r>
      <w:proofErr w:type="spellStart"/>
      <w:r w:rsidRPr="00ED24A6">
        <w:rPr>
          <w:rFonts w:ascii="Arial" w:hAnsi="Arial" w:cs="Arial"/>
          <w:i/>
          <w:iCs/>
          <w:sz w:val="24"/>
          <w:szCs w:val="24"/>
        </w:rPr>
        <w:t>Brassica</w:t>
      </w:r>
      <w:proofErr w:type="spellEnd"/>
      <w:r w:rsidRPr="00ED24A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ED24A6">
        <w:rPr>
          <w:rFonts w:ascii="Arial" w:hAnsi="Arial" w:cs="Arial"/>
          <w:i/>
          <w:iCs/>
          <w:sz w:val="24"/>
          <w:szCs w:val="24"/>
        </w:rPr>
        <w:t>oleracea</w:t>
      </w:r>
      <w:proofErr w:type="spellEnd"/>
      <w:r w:rsidRPr="00ED24A6">
        <w:rPr>
          <w:rFonts w:ascii="Arial" w:hAnsi="Arial" w:cs="Arial"/>
          <w:i/>
          <w:iCs/>
          <w:sz w:val="24"/>
          <w:szCs w:val="24"/>
        </w:rPr>
        <w:t xml:space="preserve">) </w:t>
      </w:r>
      <w:r w:rsidRPr="00ED24A6">
        <w:rPr>
          <w:rFonts w:ascii="Arial" w:hAnsi="Arial" w:cs="Arial"/>
          <w:iCs/>
          <w:sz w:val="24"/>
          <w:szCs w:val="24"/>
        </w:rPr>
        <w:t>as a potential nutraceutical resource</w:t>
      </w:r>
    </w:p>
    <w:p w:rsidR="00ED24A6" w:rsidRPr="00ED24A6" w:rsidRDefault="00ED24A6" w:rsidP="00ED24A6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D24A6">
        <w:rPr>
          <w:rFonts w:ascii="Arial" w:hAnsi="Arial" w:cs="Arial"/>
          <w:b/>
          <w:iCs/>
          <w:sz w:val="24"/>
          <w:szCs w:val="24"/>
        </w:rPr>
        <w:t>Methods: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ED24A6">
        <w:rPr>
          <w:rFonts w:ascii="Arial" w:hAnsi="Arial" w:cs="Arial"/>
          <w:iCs/>
          <w:sz w:val="24"/>
          <w:szCs w:val="24"/>
        </w:rPr>
        <w:t>Total antioxidant capacity (TAC), mineral content and IPHM of a</w:t>
      </w:r>
      <w:r w:rsidRPr="00ED24A6">
        <w:rPr>
          <w:rFonts w:ascii="Arial" w:hAnsi="Arial" w:cs="Arial"/>
          <w:sz w:val="24"/>
          <w:szCs w:val="24"/>
        </w:rPr>
        <w:t xml:space="preserve">gro waste cauliflower greens </w:t>
      </w:r>
      <w:r w:rsidRPr="00ED24A6">
        <w:rPr>
          <w:rFonts w:ascii="Arial" w:hAnsi="Arial" w:cs="Arial"/>
          <w:i/>
          <w:iCs/>
          <w:sz w:val="24"/>
          <w:szCs w:val="24"/>
        </w:rPr>
        <w:t>(</w:t>
      </w:r>
      <w:proofErr w:type="spellStart"/>
      <w:r w:rsidRPr="00ED24A6">
        <w:rPr>
          <w:rFonts w:ascii="Arial" w:hAnsi="Arial" w:cs="Arial"/>
          <w:i/>
          <w:iCs/>
          <w:sz w:val="24"/>
          <w:szCs w:val="24"/>
        </w:rPr>
        <w:t>Brassica</w:t>
      </w:r>
      <w:proofErr w:type="spellEnd"/>
      <w:r w:rsidRPr="00ED24A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ED24A6">
        <w:rPr>
          <w:rFonts w:ascii="Arial" w:hAnsi="Arial" w:cs="Arial"/>
          <w:i/>
          <w:iCs/>
          <w:sz w:val="24"/>
          <w:szCs w:val="24"/>
        </w:rPr>
        <w:t>oleracea</w:t>
      </w:r>
      <w:proofErr w:type="spellEnd"/>
      <w:r w:rsidRPr="00ED24A6">
        <w:rPr>
          <w:rFonts w:ascii="Arial" w:hAnsi="Arial" w:cs="Arial"/>
          <w:i/>
          <w:iCs/>
          <w:sz w:val="24"/>
          <w:szCs w:val="24"/>
        </w:rPr>
        <w:t>) were assessed using standard procedure.</w:t>
      </w:r>
    </w:p>
    <w:p w:rsidR="00ED24A6" w:rsidRPr="00ED24A6" w:rsidRDefault="00ED24A6" w:rsidP="00ED24A6">
      <w:pPr>
        <w:jc w:val="both"/>
        <w:rPr>
          <w:rFonts w:ascii="Arial" w:hAnsi="Arial" w:cs="Arial"/>
          <w:iCs/>
          <w:sz w:val="24"/>
          <w:szCs w:val="24"/>
        </w:rPr>
      </w:pPr>
      <w:r w:rsidRPr="00ED24A6">
        <w:rPr>
          <w:rFonts w:ascii="Arial" w:hAnsi="Arial" w:cs="Arial"/>
          <w:b/>
          <w:iCs/>
          <w:sz w:val="24"/>
          <w:szCs w:val="24"/>
        </w:rPr>
        <w:t>Results:</w:t>
      </w:r>
      <w:r w:rsidRPr="00ED24A6">
        <w:rPr>
          <w:rFonts w:ascii="Arial" w:hAnsi="Arial" w:cs="Arial"/>
          <w:i/>
          <w:iCs/>
          <w:sz w:val="24"/>
          <w:szCs w:val="24"/>
        </w:rPr>
        <w:t xml:space="preserve"> </w:t>
      </w:r>
      <w:r w:rsidRPr="00ED24A6">
        <w:rPr>
          <w:rFonts w:ascii="Arial" w:hAnsi="Arial" w:cs="Arial"/>
          <w:sz w:val="24"/>
          <w:szCs w:val="24"/>
        </w:rPr>
        <w:t xml:space="preserve">Agro waste Cauliflower greens </w:t>
      </w:r>
      <w:r w:rsidRPr="00ED24A6">
        <w:rPr>
          <w:rFonts w:ascii="Arial" w:hAnsi="Arial" w:cs="Arial"/>
          <w:i/>
          <w:iCs/>
          <w:sz w:val="24"/>
          <w:szCs w:val="24"/>
        </w:rPr>
        <w:t>(</w:t>
      </w:r>
      <w:proofErr w:type="spellStart"/>
      <w:r w:rsidRPr="00ED24A6">
        <w:rPr>
          <w:rFonts w:ascii="Arial" w:hAnsi="Arial" w:cs="Arial"/>
          <w:i/>
          <w:iCs/>
          <w:sz w:val="24"/>
          <w:szCs w:val="24"/>
        </w:rPr>
        <w:t>Brassica</w:t>
      </w:r>
      <w:proofErr w:type="spellEnd"/>
      <w:r w:rsidRPr="00ED24A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ED24A6">
        <w:rPr>
          <w:rFonts w:ascii="Arial" w:hAnsi="Arial" w:cs="Arial"/>
          <w:i/>
          <w:iCs/>
          <w:sz w:val="24"/>
          <w:szCs w:val="24"/>
        </w:rPr>
        <w:t>oleracea</w:t>
      </w:r>
      <w:proofErr w:type="spellEnd"/>
      <w:r w:rsidRPr="00ED24A6">
        <w:rPr>
          <w:rFonts w:ascii="Arial" w:hAnsi="Arial" w:cs="Arial"/>
          <w:i/>
          <w:iCs/>
          <w:sz w:val="24"/>
          <w:szCs w:val="24"/>
        </w:rPr>
        <w:t xml:space="preserve">) is rich in TAC as well as micronutrients and has 100% </w:t>
      </w:r>
      <w:r w:rsidRPr="00ED24A6">
        <w:rPr>
          <w:rFonts w:ascii="Arial" w:hAnsi="Arial" w:cs="Arial"/>
          <w:sz w:val="24"/>
          <w:szCs w:val="24"/>
        </w:rPr>
        <w:t xml:space="preserve">utilization in dry as well as fresh form as it can be easily incorporated in any of the traditional Indian recipes and thus can serve as a nutraceutical resource (antioxidant, minerals and vitamins) in dry form along with a source of food and nutrition security (in fresh form) in the community. </w:t>
      </w:r>
    </w:p>
    <w:p w:rsidR="00ED24A6" w:rsidRDefault="00ED24A6"/>
    <w:sectPr w:rsidR="00ED24A6" w:rsidSect="002667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D24A6"/>
    <w:rsid w:val="002667A5"/>
    <w:rsid w:val="00A46F08"/>
    <w:rsid w:val="00ED24A6"/>
    <w:rsid w:val="00F13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4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M.s.u</dc:creator>
  <cp:keywords/>
  <dc:description/>
  <cp:lastModifiedBy>M.s.u</cp:lastModifiedBy>
  <cp:revision>1</cp:revision>
  <dcterms:created xsi:type="dcterms:W3CDTF">2017-02-09T05:39:00Z</dcterms:created>
  <dcterms:modified xsi:type="dcterms:W3CDTF">2017-02-09T05:48:00Z</dcterms:modified>
</cp:coreProperties>
</file>