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2EA86" w14:textId="77777777" w:rsidR="00AE3E37" w:rsidRDefault="00EA5215" w:rsidP="00917DB5">
      <w:pPr>
        <w:spacing w:before="47" w:line="400" w:lineRule="exact"/>
        <w:rPr>
          <w:rFonts w:ascii="Minion Pro"/>
          <w:b/>
          <w:sz w:val="36"/>
        </w:rPr>
      </w:pPr>
      <w:bookmarkStart w:id="0" w:name="_GoBack"/>
      <w:bookmarkEnd w:id="0"/>
      <w:r>
        <w:rPr>
          <w:rFonts w:ascii="Minion Pro"/>
          <w:b/>
          <w:color w:val="337AB7"/>
          <w:sz w:val="36"/>
        </w:rPr>
        <w:t>Co-product utilization</w:t>
      </w:r>
      <w:r w:rsidR="00244E44">
        <w:rPr>
          <w:rFonts w:ascii="Minion Pro"/>
          <w:b/>
          <w:color w:val="337AB7"/>
          <w:sz w:val="36"/>
        </w:rPr>
        <w:t>-the case of soybean</w:t>
      </w:r>
      <w:r>
        <w:rPr>
          <w:rFonts w:ascii="Minion Pro"/>
          <w:b/>
          <w:color w:val="337AB7"/>
          <w:sz w:val="36"/>
        </w:rPr>
        <w:t>s</w:t>
      </w:r>
    </w:p>
    <w:p w14:paraId="28CC116A" w14:textId="77777777" w:rsidR="00917DB5" w:rsidRDefault="00917DB5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5D7EEB5D" w14:textId="5168E43D" w:rsidR="00051548" w:rsidRPr="00051548" w:rsidRDefault="00051548" w:rsidP="00051548">
      <w:pPr>
        <w:rPr>
          <w:rFonts w:cs="Times New Roman"/>
          <w:color w:val="000000"/>
          <w:sz w:val="18"/>
          <w:szCs w:val="18"/>
        </w:rPr>
      </w:pPr>
      <w:r w:rsidRPr="00051548">
        <w:rPr>
          <w:rFonts w:cs="Times New Roman"/>
          <w:color w:val="000000"/>
          <w:sz w:val="18"/>
          <w:szCs w:val="18"/>
        </w:rPr>
        <w:t xml:space="preserve">J. K. Sekhon, </w:t>
      </w:r>
      <w:r>
        <w:rPr>
          <w:rFonts w:cs="Times New Roman"/>
          <w:color w:val="000000"/>
          <w:sz w:val="18"/>
          <w:szCs w:val="18"/>
        </w:rPr>
        <w:t xml:space="preserve">Drexel University Department of </w:t>
      </w:r>
      <w:r w:rsidRPr="00051548">
        <w:rPr>
          <w:rFonts w:cs="Times New Roman"/>
          <w:color w:val="000000"/>
          <w:sz w:val="18"/>
          <w:szCs w:val="18"/>
        </w:rPr>
        <w:t xml:space="preserve">Culinary Arts and Food Science, Philadelphia PA, USA </w:t>
      </w:r>
    </w:p>
    <w:p w14:paraId="6108FAB5" w14:textId="7E9E151C" w:rsidR="00051548" w:rsidRPr="00051548" w:rsidRDefault="00051548" w:rsidP="00051548">
      <w:pPr>
        <w:rPr>
          <w:rFonts w:cs="Times New Roman"/>
          <w:color w:val="000000"/>
          <w:sz w:val="18"/>
          <w:szCs w:val="18"/>
        </w:rPr>
      </w:pPr>
      <w:r w:rsidRPr="00051548">
        <w:rPr>
          <w:rFonts w:cs="Times New Roman"/>
          <w:color w:val="000000"/>
          <w:sz w:val="18"/>
          <w:szCs w:val="18"/>
        </w:rPr>
        <w:t>T. Wang, Iowa State University Department of Food Science and Human Nutrition, Ames IA USA</w:t>
      </w:r>
      <w:r w:rsidRPr="00051548">
        <w:rPr>
          <w:rFonts w:cs="Times New Roman"/>
          <w:color w:val="000000"/>
          <w:sz w:val="18"/>
          <w:szCs w:val="18"/>
          <w:vertAlign w:val="superscript"/>
        </w:rPr>
        <w:t xml:space="preserve"> </w:t>
      </w:r>
      <w:r w:rsidRPr="00051548">
        <w:rPr>
          <w:rFonts w:cs="Times New Roman"/>
          <w:color w:val="000000"/>
          <w:sz w:val="18"/>
          <w:szCs w:val="18"/>
        </w:rPr>
        <w:t>and Center for Crops Utilization Research, Ames IA USA</w:t>
      </w:r>
    </w:p>
    <w:p w14:paraId="3F17CE10" w14:textId="119CD314" w:rsidR="00051548" w:rsidRPr="00051548" w:rsidRDefault="00051548" w:rsidP="00051548">
      <w:pPr>
        <w:rPr>
          <w:rFonts w:cs="Times New Roman"/>
          <w:color w:val="000000"/>
          <w:sz w:val="18"/>
          <w:szCs w:val="18"/>
        </w:rPr>
      </w:pPr>
      <w:r w:rsidRPr="00051548">
        <w:rPr>
          <w:rFonts w:cs="Times New Roman"/>
          <w:color w:val="000000"/>
          <w:sz w:val="18"/>
          <w:szCs w:val="18"/>
        </w:rPr>
        <w:t xml:space="preserve">S. Jung, California Polytechnic State University, San Luis Obispo, Department of food science and nutrition, CA, USA </w:t>
      </w:r>
    </w:p>
    <w:p w14:paraId="07B59E19" w14:textId="6B431E51" w:rsidR="00051548" w:rsidRPr="00051548" w:rsidRDefault="00051548" w:rsidP="00051548">
      <w:pPr>
        <w:rPr>
          <w:rFonts w:cs="Times New Roman"/>
          <w:color w:val="000000"/>
          <w:sz w:val="18"/>
          <w:szCs w:val="18"/>
          <w:vertAlign w:val="superscript"/>
        </w:rPr>
      </w:pPr>
      <w:r w:rsidRPr="00051548">
        <w:rPr>
          <w:rFonts w:cs="Times New Roman"/>
          <w:color w:val="000000"/>
          <w:sz w:val="18"/>
          <w:szCs w:val="18"/>
        </w:rPr>
        <w:t>K. Rosentrater</w:t>
      </w:r>
      <w:r w:rsidRPr="00051548">
        <w:rPr>
          <w:rFonts w:cs="Times New Roman"/>
          <w:color w:val="000000"/>
          <w:sz w:val="18"/>
          <w:szCs w:val="18"/>
          <w:vertAlign w:val="superscript"/>
        </w:rPr>
        <w:t xml:space="preserve">, </w:t>
      </w:r>
      <w:r w:rsidRPr="00051548">
        <w:rPr>
          <w:rFonts w:cs="Times New Roman"/>
          <w:color w:val="000000"/>
          <w:sz w:val="18"/>
          <w:szCs w:val="18"/>
        </w:rPr>
        <w:t>Iowa State University Department of Agricultural and Biosystems Engineering; Department of Food Science and Human Nutrition, and Center for Crops Utilization Research, Ames IA USA</w:t>
      </w:r>
      <w:r w:rsidRPr="00051548">
        <w:rPr>
          <w:rFonts w:eastAsia="MS Gothic" w:cs="Times New Roman"/>
          <w:color w:val="000000"/>
          <w:sz w:val="18"/>
          <w:szCs w:val="18"/>
        </w:rPr>
        <w:t> </w:t>
      </w:r>
    </w:p>
    <w:p w14:paraId="741A32FE" w14:textId="0826D224" w:rsidR="00AE3E37" w:rsidRDefault="00917DB5">
      <w:pPr>
        <w:pStyle w:val="BodyText"/>
        <w:spacing w:before="3"/>
        <w:rPr>
          <w:rFonts w:ascii="Arial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1B623639" wp14:editId="5F1FC3DE">
                <wp:simplePos x="0" y="0"/>
                <wp:positionH relativeFrom="page">
                  <wp:posOffset>3853815</wp:posOffset>
                </wp:positionH>
                <wp:positionV relativeFrom="paragraph">
                  <wp:posOffset>244475</wp:posOffset>
                </wp:positionV>
                <wp:extent cx="3251200" cy="0"/>
                <wp:effectExtent l="15240" t="15875" r="19685" b="12700"/>
                <wp:wrapTopAndBottom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1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45pt,19.25pt" to="559.45pt,19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" strokecolor="#004080" strokeweight="2pt">
                <w10:wrap type="topAndBottom" anchorx="page"/>
              </v:line>
            </w:pict>
          </mc:Fallback>
        </mc:AlternateContent>
      </w:r>
    </w:p>
    <w:p w14:paraId="2C2321AD" w14:textId="77777777" w:rsidR="00AE3E37" w:rsidRDefault="00AE3E37">
      <w:pPr>
        <w:rPr>
          <w:rFonts w:ascii="Arial"/>
          <w:sz w:val="28"/>
        </w:rPr>
        <w:sectPr w:rsidR="00AE3E37">
          <w:headerReference w:type="default" r:id="rId9"/>
          <w:footerReference w:type="default" r:id="rId10"/>
          <w:pgSz w:w="11910" w:h="16840"/>
          <w:pgMar w:top="1740" w:right="580" w:bottom="840" w:left="620" w:header="541" w:footer="642" w:gutter="0"/>
          <w:cols w:space="720"/>
        </w:sectPr>
      </w:pPr>
    </w:p>
    <w:p w14:paraId="5ACFB6CC" w14:textId="1F53D56E" w:rsidR="00AE3E37" w:rsidRDefault="00A9710C">
      <w:pPr>
        <w:pStyle w:val="Heading3"/>
        <w:spacing w:line="218" w:lineRule="exact"/>
        <w:jc w:val="both"/>
      </w:pPr>
      <w:r>
        <w:rPr>
          <w:color w:val="BF5A14"/>
        </w:rPr>
        <w:lastRenderedPageBreak/>
        <w:t>Abstract</w:t>
      </w:r>
    </w:p>
    <w:p w14:paraId="009FDE26" w14:textId="77777777" w:rsidR="005B030F" w:rsidRDefault="00051548" w:rsidP="005B030F">
      <w:pPr>
        <w:pStyle w:val="BodyText"/>
        <w:spacing w:before="76" w:line="264" w:lineRule="auto"/>
        <w:ind w:left="100" w:right="460"/>
        <w:jc w:val="both"/>
      </w:pPr>
      <w:r w:rsidRPr="0099492A">
        <w:rPr>
          <w:rFonts w:cs="Times New Roman"/>
        </w:rPr>
        <w:drawing>
          <wp:anchor distT="0" distB="0" distL="114300" distR="114300" simplePos="0" relativeHeight="251662336" behindDoc="0" locked="0" layoutInCell="1" allowOverlap="1" wp14:anchorId="631D0FA6" wp14:editId="60A9FD5A">
            <wp:simplePos x="0" y="0"/>
            <wp:positionH relativeFrom="margin">
              <wp:posOffset>3422650</wp:posOffset>
            </wp:positionH>
            <wp:positionV relativeFrom="margin">
              <wp:posOffset>1714500</wp:posOffset>
            </wp:positionV>
            <wp:extent cx="628650" cy="749300"/>
            <wp:effectExtent l="0" t="0" r="6350" b="127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6" t="11811" r="27213"/>
                    <a:stretch/>
                  </pic:blipFill>
                  <pic:spPr bwMode="auto">
                    <a:xfrm>
                      <a:off x="0" y="0"/>
                      <a:ext cx="62865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t xml:space="preserve">Statement of the Problem: </w:t>
      </w:r>
      <w:r w:rsidR="00CB7F66">
        <w:t xml:space="preserve">Soybean production accounts for </w:t>
      </w:r>
    </w:p>
    <w:p w14:paraId="6DA49EDA" w14:textId="101A0990" w:rsidR="00AE3E37" w:rsidRDefault="00CB7F66" w:rsidP="005B030F">
      <w:pPr>
        <w:pStyle w:val="BodyText"/>
        <w:spacing w:before="76" w:line="264" w:lineRule="auto"/>
        <w:ind w:left="100" w:right="369"/>
        <w:jc w:val="both"/>
      </w:pPr>
      <w:r>
        <w:t>~90% of oilseeds production in the U.S. Oil from soybeans is conventionally extracted mechanically using screw press or by using organic solvent. While former</w:t>
      </w:r>
      <w:r w:rsidR="00A276BF">
        <w:t xml:space="preserve"> process</w:t>
      </w:r>
      <w:r>
        <w:t xml:space="preserve"> denatures the proteins, the l</w:t>
      </w:r>
      <w:r w:rsidR="005C31EF">
        <w:t>ate</w:t>
      </w:r>
      <w:r w:rsidR="00A276BF">
        <w:t>r has potential health and environmental hazards</w:t>
      </w:r>
      <w:r w:rsidR="005C31EF">
        <w:t>. The drawbacks of these processes can be overcome by sustainable use of enzymes</w:t>
      </w:r>
      <w:r w:rsidR="00A276BF">
        <w:t>, which allows</w:t>
      </w:r>
      <w:r w:rsidR="005C31EF">
        <w:t xml:space="preserve"> recover</w:t>
      </w:r>
      <w:r w:rsidR="00A276BF">
        <w:t>y</w:t>
      </w:r>
      <w:r w:rsidR="005C31EF">
        <w:t xml:space="preserve"> </w:t>
      </w:r>
      <w:r w:rsidR="00A276BF">
        <w:t xml:space="preserve">of </w:t>
      </w:r>
      <w:r w:rsidR="005C31EF">
        <w:t xml:space="preserve">both oil and proteins. </w:t>
      </w:r>
      <w:r w:rsidR="00A276BF">
        <w:t>Enzyme assisted aqueous extraction process (EAEP)</w:t>
      </w:r>
      <w:r w:rsidR="00AF4860">
        <w:t xml:space="preserve"> uses water as extracting medium and can achieve ~97% oil recovery from soybeans. However, one limitation of the EAEP process is production of surplus amounts of skim and insoluble fiber. </w:t>
      </w:r>
    </w:p>
    <w:p w14:paraId="5F6EFCDE" w14:textId="77777777" w:rsidR="00AE3E37" w:rsidRDefault="00A9710C" w:rsidP="005B030F">
      <w:pPr>
        <w:spacing w:before="63"/>
        <w:ind w:left="1170" w:right="1579"/>
        <w:rPr>
          <w:rFonts w:ascii="Arial"/>
        </w:rPr>
      </w:pPr>
      <w:r>
        <w:br w:type="column"/>
      </w:r>
      <w:r>
        <w:rPr>
          <w:rFonts w:ascii="Arial"/>
          <w:color w:val="BF5A14"/>
        </w:rPr>
        <w:t>Biography</w:t>
      </w:r>
    </w:p>
    <w:p w14:paraId="3FE7AB3D" w14:textId="4BCF2E69" w:rsidR="00244E44" w:rsidRDefault="00752FCA" w:rsidP="005B030F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Jasreen</w:t>
      </w:r>
      <w:r w:rsidR="00244E44" w:rsidRPr="00244E44"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 xml:space="preserve">is an assistant professor in the department of Culinary Arts and Food Science at Drexel University. Her </w:t>
      </w:r>
      <w:r w:rsidR="00244E44" w:rsidRPr="00244E44">
        <w:rPr>
          <w:rFonts w:cs="Times New Roman"/>
          <w:sz w:val="18"/>
          <w:szCs w:val="18"/>
        </w:rPr>
        <w:t xml:space="preserve">research addresses utilization of co-products from the food industry, with specific focus on developing processes to utilize these co-products, study the effect of processing on the quality of the product and determining nutritional value of the developed product. </w:t>
      </w:r>
    </w:p>
    <w:p w14:paraId="35A10DCA" w14:textId="77777777" w:rsidR="00CB7F66" w:rsidRPr="00244E44" w:rsidRDefault="00CB7F66" w:rsidP="00244E44">
      <w:pPr>
        <w:rPr>
          <w:rFonts w:cs="Times New Roman"/>
          <w:sz w:val="18"/>
          <w:szCs w:val="18"/>
        </w:rPr>
      </w:pPr>
    </w:p>
    <w:p w14:paraId="7E9AD4EC" w14:textId="4258B85C" w:rsidR="00AE3E37" w:rsidRDefault="00A9710C" w:rsidP="00244E44">
      <w:pPr>
        <w:spacing w:before="62"/>
        <w:ind w:left="1428" w:right="1579"/>
        <w:jc w:val="center"/>
        <w:rPr>
          <w:rFonts w:ascii="Arial"/>
          <w:sz w:val="14"/>
        </w:rPr>
        <w:sectPr w:rsidR="00AE3E37" w:rsidSect="005B030F">
          <w:type w:val="continuous"/>
          <w:pgSz w:w="11910" w:h="16840"/>
          <w:pgMar w:top="1740" w:right="580" w:bottom="840" w:left="620" w:header="720" w:footer="720" w:gutter="0"/>
          <w:cols w:num="2" w:space="70"/>
        </w:sectPr>
      </w:pPr>
      <w:r>
        <w:rPr>
          <w:rFonts w:ascii="Arial"/>
          <w:sz w:val="14"/>
        </w:rPr>
        <w:t xml:space="preserve">Email: </w:t>
      </w:r>
      <w:hyperlink r:id="rId12">
        <w:r w:rsidR="00244E44">
          <w:rPr>
            <w:rFonts w:ascii="Arial"/>
            <w:color w:val="004080"/>
            <w:sz w:val="14"/>
          </w:rPr>
          <w:t>jks333@drexel.edu</w:t>
        </w:r>
      </w:hyperlink>
    </w:p>
    <w:p w14:paraId="0A773398" w14:textId="60A580F4" w:rsidR="00AE3E37" w:rsidRDefault="005B030F" w:rsidP="005B030F">
      <w:pPr>
        <w:pStyle w:val="BodyText"/>
        <w:tabs>
          <w:tab w:val="left" w:pos="5698"/>
          <w:tab w:val="left" w:pos="10302"/>
        </w:tabs>
        <w:spacing w:line="264" w:lineRule="auto"/>
        <w:ind w:right="384"/>
        <w:jc w:val="both"/>
      </w:pPr>
      <w:r>
        <w:lastRenderedPageBreak/>
        <w:t xml:space="preserve">  </w:t>
      </w:r>
      <w:r w:rsidR="00A9710C">
        <w:t xml:space="preserve">The purpose of this study </w:t>
      </w:r>
      <w:r w:rsidR="00AF4860">
        <w:t xml:space="preserve">was to determine how to best utilize </w:t>
      </w:r>
    </w:p>
    <w:p w14:paraId="46E4A151" w14:textId="6A78452A" w:rsidR="00A00787" w:rsidRPr="00051548" w:rsidRDefault="00AF4860" w:rsidP="005B030F">
      <w:pPr>
        <w:pStyle w:val="BodyText"/>
        <w:tabs>
          <w:tab w:val="left" w:pos="5698"/>
          <w:tab w:val="left" w:pos="10302"/>
        </w:tabs>
        <w:spacing w:line="264" w:lineRule="auto"/>
        <w:ind w:left="90" w:right="384"/>
        <w:jc w:val="both"/>
      </w:pPr>
      <w:r>
        <w:t>co</w:t>
      </w:r>
      <w:r w:rsidR="00EA5215">
        <w:t xml:space="preserve">-products, skim and insoluble fiber, </w:t>
      </w:r>
      <w:r>
        <w:t>produced</w:t>
      </w:r>
      <w:r w:rsidR="00EA5215">
        <w:t xml:space="preserve"> from the EAEP of soybeans. </w:t>
      </w:r>
      <w:r w:rsidR="00A9710C">
        <w:t>Methodology</w:t>
      </w:r>
      <w:r>
        <w:t xml:space="preserve">: </w:t>
      </w:r>
      <w:r w:rsidR="0099492A">
        <w:t xml:space="preserve">The effect of addition of skim and insoluble </w:t>
      </w:r>
      <w:r w:rsidR="00A00787">
        <w:t xml:space="preserve">fiber on ethanol production, </w:t>
      </w:r>
      <w:r w:rsidR="0099492A">
        <w:t>oil recovery</w:t>
      </w:r>
      <w:r w:rsidR="00A00787">
        <w:t xml:space="preserve"> and quality of dried distillers grains (DDG)</w:t>
      </w:r>
      <w:r w:rsidR="0099492A">
        <w:t xml:space="preserve"> in corn fermentation was investigated. </w:t>
      </w:r>
      <w:r w:rsidR="00515B6D">
        <w:t xml:space="preserve">Enzyme cocktail (fiber hydrolyzing enzymes and/or protease) and surfactant were </w:t>
      </w:r>
      <w:r w:rsidR="00B22ABB">
        <w:t>used to</w:t>
      </w:r>
      <w:r w:rsidR="00515B6D">
        <w:t xml:space="preserve"> maximize efficiency of the process. </w:t>
      </w:r>
      <w:r w:rsidR="00A9710C" w:rsidRPr="00051548">
        <w:t xml:space="preserve">Findings: </w:t>
      </w:r>
      <w:r w:rsidR="009F01BB" w:rsidRPr="00051548">
        <w:t xml:space="preserve">Addition of </w:t>
      </w:r>
      <w:r w:rsidR="00B22ABB" w:rsidRPr="00051548">
        <w:rPr>
          <w:rFonts w:eastAsiaTheme="minorHAnsi" w:cs="Times"/>
        </w:rPr>
        <w:t>soy co-products</w:t>
      </w:r>
      <w:r w:rsidR="009F01BB" w:rsidRPr="00051548">
        <w:rPr>
          <w:rFonts w:eastAsiaTheme="minorHAnsi" w:cs="Times"/>
        </w:rPr>
        <w:t xml:space="preserve"> to corn fermentation increased ethanol yield and decreased fermentation time by 38 h compared to corn-only fermentation. </w:t>
      </w:r>
      <w:r w:rsidR="00051548" w:rsidRPr="00051548">
        <w:rPr>
          <w:rFonts w:cs="Times New Roman"/>
          <w:color w:val="000000"/>
        </w:rPr>
        <w:t>Maximum oil recovery was achieved from [</w:t>
      </w:r>
      <w:r w:rsidR="00ED54D1" w:rsidRPr="00051548">
        <w:rPr>
          <w:rFonts w:cs="Times New Roman"/>
          <w:color w:val="000000"/>
        </w:rPr>
        <w:t>corn only</w:t>
      </w:r>
      <w:r w:rsidR="00051548" w:rsidRPr="00051548">
        <w:rPr>
          <w:rFonts w:cs="Times New Roman"/>
          <w:color w:val="000000"/>
        </w:rPr>
        <w:t>] and [corn + insoluble fiber] slurries when pectinase, cellulase and Fermgen were added to corn-soy slurry during fermentation and when Tween80 was used as a surfactant.</w:t>
      </w:r>
      <w:r w:rsidR="00051548">
        <w:rPr>
          <w:rFonts w:cs="Times New Roman"/>
          <w:color w:val="000000"/>
        </w:rPr>
        <w:t xml:space="preserve"> </w:t>
      </w:r>
      <w:r w:rsidR="00B21CA0">
        <w:rPr>
          <w:rFonts w:cs="Times New Roman"/>
          <w:color w:val="000000"/>
        </w:rPr>
        <w:t xml:space="preserve">Significance: This research has demonstrated potential of soy co-products from EAEP of soybeans in maximizing ethanol and oil recovery from corn fermentation. </w:t>
      </w:r>
    </w:p>
    <w:p w14:paraId="25FA22EC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081A8D88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7DB44D0E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08FD0A33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6E7D0098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4C8CBEA7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4E7AFB30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5F033734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1969ACC5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0615C41B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0C10FEAD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0306F58A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3D065592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370DA2DA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212D4363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607EFDA9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02D62E4A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6DBA83F4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276514E4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6BDF32F0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6CB1FF4C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039BE5D9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0ECD6437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788A5629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6E186E55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3A4DB46E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520FBC0C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40ADFB44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6D8D308C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5C8C6AB0" w14:textId="77777777" w:rsidR="005B030F" w:rsidRDefault="005B030F" w:rsidP="00051548">
      <w:pPr>
        <w:spacing w:line="204" w:lineRule="exact"/>
        <w:rPr>
          <w:sz w:val="17"/>
          <w:szCs w:val="18"/>
        </w:rPr>
      </w:pPr>
    </w:p>
    <w:p w14:paraId="4C22123D" w14:textId="65A5D570" w:rsidR="005906F6" w:rsidRPr="00051548" w:rsidRDefault="00414F7B" w:rsidP="00051548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</w:t>
      </w:r>
      <w:r w:rsidR="00C33602">
        <w:rPr>
          <w:rFonts w:ascii="Arial"/>
          <w:b/>
          <w:color w:val="BF5A14"/>
          <w:sz w:val="20"/>
        </w:rPr>
        <w:t>P</w:t>
      </w:r>
      <w:r>
        <w:rPr>
          <w:rFonts w:ascii="Arial"/>
          <w:b/>
          <w:color w:val="BF5A14"/>
          <w:sz w:val="20"/>
        </w:rPr>
        <w:t>ubli</w:t>
      </w:r>
      <w:r w:rsidR="00C33602">
        <w:rPr>
          <w:rFonts w:ascii="Arial"/>
          <w:b/>
          <w:color w:val="BF5A14"/>
          <w:sz w:val="20"/>
        </w:rPr>
        <w:t>cations (minimum 5)</w:t>
      </w:r>
      <w:r w:rsidR="004B5946">
        <w:rPr>
          <w:rFonts w:ascii="Arial"/>
          <w:b/>
          <w:color w:val="BF5A14"/>
          <w:sz w:val="20"/>
        </w:rPr>
        <w:t>*</w:t>
      </w:r>
      <w:r w:rsidR="005906F6" w:rsidRPr="005906F6">
        <w:rPr>
          <w:rFonts w:eastAsiaTheme="minorHAnsi" w:cs="Times New Roman"/>
          <w:sz w:val="18"/>
          <w:szCs w:val="18"/>
        </w:rPr>
        <w:t> </w:t>
      </w:r>
    </w:p>
    <w:p w14:paraId="52227EA2" w14:textId="3895CB52" w:rsidR="005906F6" w:rsidRPr="005906F6" w:rsidRDefault="005906F6" w:rsidP="005906F6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Theme="minorHAnsi" w:cs="Times New Roman"/>
          <w:sz w:val="18"/>
          <w:szCs w:val="18"/>
        </w:rPr>
      </w:pPr>
      <w:r w:rsidRPr="005906F6">
        <w:rPr>
          <w:rFonts w:eastAsiaTheme="minorHAnsi" w:cs="Times New Roman"/>
          <w:sz w:val="18"/>
          <w:szCs w:val="18"/>
        </w:rPr>
        <w:t>Sekhon, J. K., Maness, N. O., &amp; Jones, C. L. (201</w:t>
      </w:r>
      <w:r w:rsidR="00051548">
        <w:rPr>
          <w:rFonts w:eastAsiaTheme="minorHAnsi" w:cs="Times New Roman"/>
          <w:sz w:val="18"/>
          <w:szCs w:val="18"/>
        </w:rPr>
        <w:t>6</w:t>
      </w:r>
      <w:r w:rsidRPr="005906F6">
        <w:rPr>
          <w:rFonts w:eastAsiaTheme="minorHAnsi" w:cs="Times New Roman"/>
          <w:sz w:val="18"/>
          <w:szCs w:val="18"/>
        </w:rPr>
        <w:t>). Effect of compressed propane extraction on storage stability of dried cilantro (</w:t>
      </w:r>
      <w:r w:rsidRPr="005906F6">
        <w:rPr>
          <w:rFonts w:eastAsiaTheme="minorHAnsi" w:cs="Times"/>
          <w:sz w:val="18"/>
          <w:szCs w:val="18"/>
        </w:rPr>
        <w:t xml:space="preserve">Coriandrum sativum </w:t>
      </w:r>
      <w:r w:rsidRPr="005906F6">
        <w:rPr>
          <w:rFonts w:eastAsiaTheme="minorHAnsi" w:cs="Times New Roman"/>
          <w:sz w:val="18"/>
          <w:szCs w:val="18"/>
        </w:rPr>
        <w:t>L</w:t>
      </w:r>
      <w:r w:rsidR="00ED54D1">
        <w:rPr>
          <w:rFonts w:eastAsiaTheme="minorHAnsi" w:cs="Times New Roman"/>
          <w:sz w:val="18"/>
          <w:szCs w:val="18"/>
        </w:rPr>
        <w:t>.). Journal of</w:t>
      </w:r>
      <w:r w:rsidR="005B030F">
        <w:rPr>
          <w:rFonts w:eastAsiaTheme="minorHAnsi" w:cs="Times New Roman"/>
          <w:sz w:val="18"/>
          <w:szCs w:val="18"/>
        </w:rPr>
        <w:t xml:space="preserve"> Food Engineering, 178, 159-169</w:t>
      </w:r>
    </w:p>
    <w:p w14:paraId="1060E9D7" w14:textId="77777777" w:rsidR="005906F6" w:rsidRPr="005906F6" w:rsidRDefault="005906F6" w:rsidP="005906F6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Theme="minorHAnsi" w:cs="Times New Roman"/>
          <w:sz w:val="18"/>
          <w:szCs w:val="18"/>
        </w:rPr>
      </w:pPr>
      <w:r w:rsidRPr="005906F6">
        <w:rPr>
          <w:rFonts w:eastAsiaTheme="minorHAnsi" w:cs="Times New Roman"/>
          <w:sz w:val="18"/>
          <w:szCs w:val="18"/>
        </w:rPr>
        <w:t xml:space="preserve">Sekhon, J. K., Maurer, D., Rosentrater, K. A., Wang, T., &amp; Jung, S. (2015). Effect of pretreatment of soy insoluble fiber and SSCF with </w:t>
      </w:r>
      <w:r w:rsidRPr="005906F6">
        <w:rPr>
          <w:rFonts w:eastAsiaTheme="minorHAnsi" w:cs="Times"/>
          <w:sz w:val="18"/>
          <w:szCs w:val="18"/>
        </w:rPr>
        <w:t xml:space="preserve">Saccharomyces cerevisiae </w:t>
      </w:r>
      <w:r w:rsidRPr="005906F6">
        <w:rPr>
          <w:rFonts w:eastAsiaTheme="minorHAnsi" w:cs="Times New Roman"/>
          <w:sz w:val="18"/>
          <w:szCs w:val="18"/>
        </w:rPr>
        <w:t xml:space="preserve">and </w:t>
      </w:r>
      <w:r w:rsidRPr="005906F6">
        <w:rPr>
          <w:rFonts w:eastAsiaTheme="minorHAnsi" w:cs="Times"/>
          <w:sz w:val="18"/>
          <w:szCs w:val="18"/>
        </w:rPr>
        <w:t xml:space="preserve">Escherichia coli </w:t>
      </w:r>
      <w:r w:rsidRPr="005906F6">
        <w:rPr>
          <w:rFonts w:eastAsiaTheme="minorHAnsi" w:cs="Times New Roman"/>
          <w:sz w:val="18"/>
          <w:szCs w:val="18"/>
        </w:rPr>
        <w:t>KO11 on ethanol production in an integrated corn-soy biorefinery. Paper presented at ASABE Annual International Meeting, New Orleans, Louisiana, 1-14  </w:t>
      </w:r>
    </w:p>
    <w:p w14:paraId="70F7A08A" w14:textId="77777777" w:rsidR="005906F6" w:rsidRPr="005906F6" w:rsidRDefault="005906F6" w:rsidP="005906F6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Theme="minorHAnsi" w:cs="Times New Roman"/>
          <w:sz w:val="18"/>
          <w:szCs w:val="18"/>
        </w:rPr>
      </w:pPr>
      <w:r w:rsidRPr="005906F6">
        <w:rPr>
          <w:rFonts w:eastAsiaTheme="minorHAnsi" w:cs="Times New Roman"/>
          <w:sz w:val="18"/>
          <w:szCs w:val="18"/>
        </w:rPr>
        <w:t>Sekhon, J. K., Wang, T., Jung, S., Rosentrater, K. A., &amp; Johnson, L. A. (2015). Effect of co-products of enzyme-assisted aqueous extraction of soybeans on ethanol production in dry-grind corn fermentation. Bioresource Technology, 192, 451-460  </w:t>
      </w:r>
    </w:p>
    <w:p w14:paraId="66D6BA41" w14:textId="77777777" w:rsidR="005906F6" w:rsidRDefault="005906F6" w:rsidP="005906F6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Theme="minorHAnsi" w:cs="Times New Roman"/>
          <w:sz w:val="18"/>
          <w:szCs w:val="18"/>
        </w:rPr>
      </w:pPr>
      <w:r w:rsidRPr="005906F6">
        <w:rPr>
          <w:rFonts w:eastAsiaTheme="minorHAnsi" w:cs="Times New Roman"/>
          <w:sz w:val="18"/>
          <w:szCs w:val="18"/>
        </w:rPr>
        <w:t>Sekhon, J. K., Maness, N. O., &amp; Jones, C. L. (2015). Effect of preprocessing and compressed propane extraction on quality of cilantro (</w:t>
      </w:r>
      <w:r w:rsidRPr="005906F6">
        <w:rPr>
          <w:rFonts w:eastAsiaTheme="minorHAnsi" w:cs="Times"/>
          <w:sz w:val="18"/>
          <w:szCs w:val="18"/>
        </w:rPr>
        <w:t xml:space="preserve">Coriandrum sativum </w:t>
      </w:r>
      <w:r w:rsidRPr="005906F6">
        <w:rPr>
          <w:rFonts w:eastAsiaTheme="minorHAnsi" w:cs="Times New Roman"/>
          <w:sz w:val="18"/>
          <w:szCs w:val="18"/>
        </w:rPr>
        <w:t>L.)</w:t>
      </w:r>
      <w:r>
        <w:rPr>
          <w:rFonts w:eastAsiaTheme="minorHAnsi" w:cs="Times New Roman"/>
          <w:sz w:val="18"/>
          <w:szCs w:val="18"/>
        </w:rPr>
        <w:t>. Food Chemistry, 175, 322-328</w:t>
      </w:r>
    </w:p>
    <w:p w14:paraId="56B42DA6" w14:textId="77777777" w:rsidR="005906F6" w:rsidRPr="005906F6" w:rsidRDefault="005906F6" w:rsidP="00ED54D1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eastAsiaTheme="minorHAnsi" w:cs="Times New Roman"/>
          <w:sz w:val="18"/>
          <w:szCs w:val="18"/>
        </w:rPr>
      </w:pPr>
      <w:r w:rsidRPr="005906F6">
        <w:rPr>
          <w:rFonts w:eastAsiaTheme="minorHAnsi" w:cs="Times New Roman"/>
          <w:sz w:val="18"/>
          <w:szCs w:val="18"/>
        </w:rPr>
        <w:t>Sekhon, J. K., Maness, N. O., &amp; Jones, C. L. (2009). Improving shelf life and quality of dehydrated cilantro by partial propane extraction. Paper presented at ASABE Annual International Meeting, Reno, Nevada, 1-8</w:t>
      </w:r>
      <w:r w:rsidRPr="005906F6">
        <w:rPr>
          <w:rFonts w:ascii="Times New Roman" w:eastAsiaTheme="minorHAnsi" w:hAnsi="Times New Roman" w:cs="Times New Roman"/>
          <w:sz w:val="32"/>
          <w:szCs w:val="32"/>
        </w:rPr>
        <w:t xml:space="preserve"> </w:t>
      </w:r>
      <w:r w:rsidRPr="005906F6">
        <w:rPr>
          <w:rFonts w:ascii="Trebuchet MS" w:eastAsiaTheme="minorHAnsi" w:hAnsi="Trebuchet MS" w:cs="Trebuchet MS"/>
          <w:sz w:val="32"/>
          <w:szCs w:val="32"/>
        </w:rPr>
        <w:t> </w:t>
      </w:r>
    </w:p>
    <w:p w14:paraId="59481192" w14:textId="77777777" w:rsidR="004B5946" w:rsidRDefault="004B5946" w:rsidP="004B5946">
      <w:pPr>
        <w:pStyle w:val="BodyText"/>
        <w:spacing w:before="85" w:line="216" w:lineRule="exact"/>
        <w:ind w:left="99" w:right="138"/>
        <w:jc w:val="both"/>
        <w:rPr>
          <w:rFonts w:ascii="Calibri" w:hAnsi="Calibri"/>
        </w:rPr>
      </w:pPr>
    </w:p>
    <w:p w14:paraId="3CD6E6D4" w14:textId="7D7F9251" w:rsidR="004B5946" w:rsidRDefault="004B5946" w:rsidP="005B030F">
      <w:pPr>
        <w:pStyle w:val="BodyText"/>
        <w:spacing w:before="85" w:line="216" w:lineRule="exact"/>
        <w:ind w:left="90" w:right="138"/>
        <w:jc w:val="both"/>
        <w:rPr>
          <w:rFonts w:ascii="Calibri" w:hAnsi="Calibri"/>
        </w:rPr>
      </w:pPr>
    </w:p>
    <w:sectPr w:rsidR="004B5946" w:rsidSect="005B030F">
      <w:type w:val="continuous"/>
      <w:pgSz w:w="11910" w:h="16840"/>
      <w:pgMar w:top="1740" w:right="580" w:bottom="840" w:left="620" w:header="720" w:footer="720" w:gutter="0"/>
      <w:cols w:num="2" w:space="1260" w:equalWidth="0">
        <w:col w:w="5230" w:space="122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20F6E1" w14:textId="77777777" w:rsidR="005B030F" w:rsidRDefault="005B030F">
      <w:r>
        <w:separator/>
      </w:r>
    </w:p>
  </w:endnote>
  <w:endnote w:type="continuationSeparator" w:id="0">
    <w:p w14:paraId="1B960782" w14:textId="77777777" w:rsidR="005B030F" w:rsidRDefault="005B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1DE20" w14:textId="77777777" w:rsidR="005B030F" w:rsidRDefault="005B030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F0339D" w14:textId="77777777" w:rsidR="005B030F" w:rsidRDefault="005B030F">
      <w:r>
        <w:separator/>
      </w:r>
    </w:p>
  </w:footnote>
  <w:footnote w:type="continuationSeparator" w:id="0">
    <w:p w14:paraId="07C42CF1" w14:textId="77777777" w:rsidR="005B030F" w:rsidRDefault="005B030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CA8FC" w14:textId="77777777" w:rsidR="005B030F" w:rsidRDefault="005B030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548"/>
    <w:rsid w:val="000A0E86"/>
    <w:rsid w:val="000A10E1"/>
    <w:rsid w:val="000E2911"/>
    <w:rsid w:val="001263DF"/>
    <w:rsid w:val="001E4E59"/>
    <w:rsid w:val="00244E44"/>
    <w:rsid w:val="00404E5B"/>
    <w:rsid w:val="00414F7B"/>
    <w:rsid w:val="004167D1"/>
    <w:rsid w:val="004355DC"/>
    <w:rsid w:val="004749B4"/>
    <w:rsid w:val="004B5946"/>
    <w:rsid w:val="004B7C5E"/>
    <w:rsid w:val="004F3523"/>
    <w:rsid w:val="00515B6D"/>
    <w:rsid w:val="005906F6"/>
    <w:rsid w:val="005B030F"/>
    <w:rsid w:val="005B3A56"/>
    <w:rsid w:val="005C31EF"/>
    <w:rsid w:val="006060CE"/>
    <w:rsid w:val="006128A0"/>
    <w:rsid w:val="0063497F"/>
    <w:rsid w:val="00655F56"/>
    <w:rsid w:val="00752FCA"/>
    <w:rsid w:val="00873DF0"/>
    <w:rsid w:val="00917DB5"/>
    <w:rsid w:val="00955854"/>
    <w:rsid w:val="0099492A"/>
    <w:rsid w:val="009B2D44"/>
    <w:rsid w:val="009F01BB"/>
    <w:rsid w:val="00A00787"/>
    <w:rsid w:val="00A276BF"/>
    <w:rsid w:val="00A926FE"/>
    <w:rsid w:val="00A9710C"/>
    <w:rsid w:val="00AE3E37"/>
    <w:rsid w:val="00AF4860"/>
    <w:rsid w:val="00B21A57"/>
    <w:rsid w:val="00B21CA0"/>
    <w:rsid w:val="00B22ABB"/>
    <w:rsid w:val="00B3143C"/>
    <w:rsid w:val="00C33602"/>
    <w:rsid w:val="00CB7F66"/>
    <w:rsid w:val="00CD6F55"/>
    <w:rsid w:val="00DE22CF"/>
    <w:rsid w:val="00EA5215"/>
    <w:rsid w:val="00ED54D1"/>
    <w:rsid w:val="00F72EEA"/>
    <w:rsid w:val="00F84CAE"/>
    <w:rsid w:val="00FB2EC9"/>
    <w:rsid w:val="00FB5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3093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yperlink" Target="mailto:drdeanna.rpm@hot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7CB705-79B9-794E-BE39-E55FC8DE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596</Words>
  <Characters>3398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Jasreen Sekhon</cp:lastModifiedBy>
  <cp:revision>2</cp:revision>
  <dcterms:created xsi:type="dcterms:W3CDTF">2017-01-22T03:26:00Z</dcterms:created>
  <dcterms:modified xsi:type="dcterms:W3CDTF">2017-01-22T03:26:00Z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